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shd w:val="clear" w:color="auto" w:fill="F2F2F2" w:themeFill="background1" w:themeFillShade="F2"/>
        <w:tblLook w:val="04A0" w:firstRow="1" w:lastRow="0" w:firstColumn="1" w:lastColumn="0" w:noHBand="0" w:noVBand="1"/>
      </w:tblPr>
      <w:tblGrid>
        <w:gridCol w:w="9016"/>
      </w:tblGrid>
      <w:tr w:rsidR="00CB29BC" w:rsidRPr="0083460D" w14:paraId="041B3946" w14:textId="77777777" w:rsidTr="00D008AE">
        <w:tc>
          <w:tcPr>
            <w:tcW w:w="5000" w:type="pct"/>
            <w:shd w:val="clear" w:color="auto" w:fill="F2F2F2" w:themeFill="background1" w:themeFillShade="F2"/>
            <w:vAlign w:val="center"/>
          </w:tcPr>
          <w:p w14:paraId="65746E54" w14:textId="77777777" w:rsidR="00CB29BC" w:rsidRPr="00BC3FB4" w:rsidRDefault="00CB29BC" w:rsidP="00D008AE">
            <w:pPr>
              <w:spacing w:before="120" w:after="120" w:line="276" w:lineRule="auto"/>
              <w:rPr>
                <w:rFonts w:cs="Arial"/>
                <w:b/>
                <w:color w:val="FF0000"/>
                <w:sz w:val="21"/>
                <w:szCs w:val="21"/>
              </w:rPr>
            </w:pPr>
            <w:r w:rsidRPr="00BC3FB4">
              <w:rPr>
                <w:rFonts w:cs="Arial"/>
                <w:b/>
                <w:color w:val="FF0000"/>
                <w:sz w:val="21"/>
                <w:szCs w:val="21"/>
              </w:rPr>
              <w:t xml:space="preserve">The text on the following pages is suggestive in nature and for your reference only. </w:t>
            </w:r>
          </w:p>
          <w:p w14:paraId="3EB98AC5" w14:textId="77777777" w:rsidR="00CB29BC" w:rsidRPr="00BC3FB4" w:rsidRDefault="00CB29BC" w:rsidP="00D008AE">
            <w:pPr>
              <w:spacing w:before="120" w:after="120" w:line="276" w:lineRule="auto"/>
              <w:rPr>
                <w:rFonts w:cs="Arial"/>
                <w:sz w:val="21"/>
                <w:szCs w:val="21"/>
              </w:rPr>
            </w:pPr>
            <w:r w:rsidRPr="00BC3FB4">
              <w:rPr>
                <w:rFonts w:cs="Arial"/>
                <w:sz w:val="21"/>
                <w:szCs w:val="21"/>
              </w:rPr>
              <w:t xml:space="preserve">We advise that you amend the text to suit your needs (particularly sections marked with </w:t>
            </w:r>
            <w:r w:rsidRPr="00BC3FB4">
              <w:rPr>
                <w:rFonts w:cs="Arial"/>
                <w:sz w:val="21"/>
                <w:szCs w:val="21"/>
                <w:highlight w:val="green"/>
              </w:rPr>
              <w:t>[ ]</w:t>
            </w:r>
            <w:r w:rsidRPr="00BC3FB4">
              <w:rPr>
                <w:rFonts w:cs="Arial"/>
                <w:sz w:val="21"/>
                <w:szCs w:val="21"/>
              </w:rPr>
              <w:t xml:space="preserve">, which are to be modified and replaced as appropriate). </w:t>
            </w:r>
          </w:p>
          <w:p w14:paraId="6F0D83E0" w14:textId="77777777" w:rsidR="00CB29BC" w:rsidRPr="00BC3FB4" w:rsidRDefault="00CB29BC" w:rsidP="00D008AE">
            <w:pPr>
              <w:spacing w:before="120" w:after="120" w:line="276" w:lineRule="auto"/>
              <w:rPr>
                <w:rFonts w:cs="Arial"/>
                <w:sz w:val="21"/>
                <w:szCs w:val="21"/>
              </w:rPr>
            </w:pPr>
            <w:r w:rsidRPr="00BC3FB4">
              <w:rPr>
                <w:rFonts w:cs="Arial"/>
                <w:sz w:val="21"/>
                <w:szCs w:val="21"/>
              </w:rPr>
              <w:t xml:space="preserve">In adapting this text, you will need to ensure this section is relevant to your clients’ goals, </w:t>
            </w:r>
            <w:proofErr w:type="gramStart"/>
            <w:r w:rsidRPr="00BC3FB4">
              <w:rPr>
                <w:rFonts w:cs="Arial"/>
                <w:sz w:val="21"/>
                <w:szCs w:val="21"/>
              </w:rPr>
              <w:t>objectives</w:t>
            </w:r>
            <w:proofErr w:type="gramEnd"/>
            <w:r w:rsidRPr="00BC3FB4">
              <w:rPr>
                <w:rFonts w:cs="Arial"/>
                <w:sz w:val="21"/>
                <w:szCs w:val="21"/>
              </w:rPr>
              <w:t xml:space="preserve"> and personal circumstances.</w:t>
            </w:r>
          </w:p>
          <w:p w14:paraId="7489202F" w14:textId="77777777" w:rsidR="00CB29BC" w:rsidRPr="00BC3FB4" w:rsidRDefault="00CB29BC" w:rsidP="00D008AE">
            <w:pPr>
              <w:spacing w:before="120" w:after="120" w:line="276" w:lineRule="auto"/>
              <w:rPr>
                <w:rFonts w:cs="Arial"/>
                <w:sz w:val="21"/>
                <w:szCs w:val="21"/>
              </w:rPr>
            </w:pPr>
            <w:r w:rsidRPr="00BC3FB4">
              <w:rPr>
                <w:rFonts w:cs="Arial"/>
                <w:sz w:val="21"/>
                <w:szCs w:val="21"/>
              </w:rPr>
              <w:t xml:space="preserve">Please check with your licensee’s pre-vet and/or compliance team regarding the appropriateness of the wording for the relevant section of the </w:t>
            </w:r>
            <w:proofErr w:type="spellStart"/>
            <w:r w:rsidRPr="00BC3FB4">
              <w:rPr>
                <w:rFonts w:cs="Arial"/>
                <w:sz w:val="21"/>
                <w:szCs w:val="21"/>
              </w:rPr>
              <w:t>SoA</w:t>
            </w:r>
            <w:proofErr w:type="spellEnd"/>
            <w:r w:rsidRPr="00BC3FB4">
              <w:rPr>
                <w:rFonts w:cs="Arial"/>
                <w:sz w:val="21"/>
                <w:szCs w:val="21"/>
              </w:rPr>
              <w:t xml:space="preserve"> before using the suggested wording. </w:t>
            </w:r>
          </w:p>
          <w:p w14:paraId="4BA495FF" w14:textId="07291FAE" w:rsidR="00CB29BC" w:rsidRPr="0083460D" w:rsidRDefault="00CB29BC" w:rsidP="00D008AE">
            <w:pPr>
              <w:spacing w:before="120" w:after="120" w:line="276" w:lineRule="auto"/>
              <w:rPr>
                <w:rFonts w:cs="Arial"/>
                <w:b/>
                <w:sz w:val="21"/>
                <w:szCs w:val="21"/>
              </w:rPr>
            </w:pPr>
            <w:r w:rsidRPr="00BC3FB4">
              <w:rPr>
                <w:rFonts w:cs="Arial"/>
                <w:b/>
                <w:sz w:val="21"/>
                <w:szCs w:val="21"/>
              </w:rPr>
              <w:t xml:space="preserve">(Updated in </w:t>
            </w:r>
            <w:r w:rsidR="00222FFD">
              <w:rPr>
                <w:rFonts w:cs="Arial"/>
                <w:b/>
                <w:sz w:val="21"/>
                <w:szCs w:val="21"/>
              </w:rPr>
              <w:t>May</w:t>
            </w:r>
            <w:r w:rsidRPr="00BC3FB4">
              <w:rPr>
                <w:rFonts w:cs="Arial"/>
                <w:b/>
                <w:sz w:val="21"/>
                <w:szCs w:val="21"/>
              </w:rPr>
              <w:t xml:space="preserve"> 2023)</w:t>
            </w:r>
          </w:p>
        </w:tc>
      </w:tr>
    </w:tbl>
    <w:p w14:paraId="5BC8E29D" w14:textId="05EAF7E4" w:rsidR="00700D07" w:rsidRDefault="00700D07"/>
    <w:p w14:paraId="311F2DD1" w14:textId="77777777" w:rsidR="00CB29BC" w:rsidRPr="006A627F" w:rsidRDefault="00CB29BC" w:rsidP="1A147AE5">
      <w:pPr>
        <w:rPr>
          <w:sz w:val="20"/>
          <w:szCs w:val="20"/>
        </w:rPr>
      </w:pPr>
      <w:bookmarkStart w:id="0" w:name="_Hlk97290259"/>
      <w:r w:rsidRPr="1A147AE5">
        <w:rPr>
          <w:color w:val="151515"/>
          <w:sz w:val="20"/>
          <w:szCs w:val="20"/>
          <w:shd w:val="clear" w:color="auto" w:fill="FFFFFF"/>
        </w:rPr>
        <w:t xml:space="preserve">This document is issued by Morningstar Investment Management Australia Limited (ABN 54 071 808 501, AFS Licence No. 228986) (‘Morningstar’). © Copyright of this document is owned by Morningstar and any related bodies corporate that are involved in the document’s creation. As such the document, or any part of it, should not be copied, reproduced, </w:t>
      </w:r>
      <w:proofErr w:type="gramStart"/>
      <w:r w:rsidRPr="1A147AE5">
        <w:rPr>
          <w:color w:val="151515"/>
          <w:sz w:val="20"/>
          <w:szCs w:val="20"/>
          <w:shd w:val="clear" w:color="auto" w:fill="FFFFFF"/>
        </w:rPr>
        <w:t>scanned</w:t>
      </w:r>
      <w:proofErr w:type="gramEnd"/>
      <w:r w:rsidRPr="1A147AE5">
        <w:rPr>
          <w:color w:val="151515"/>
          <w:sz w:val="20"/>
          <w:szCs w:val="20"/>
          <w:shd w:val="clear" w:color="auto" w:fill="FFFFFF"/>
        </w:rPr>
        <w:t xml:space="preserve"> or embodied in any other document or distributed to another party without the prior written consent of Morningstar. The information provided is for general use only. In compiling this document, Morningstar has relied on information and data supplied by third parties including information providers (such as Standard and Poor’s, MSCI, Barclays, FTSE). Whilst all reasonable care has been taken to ensure the accuracy of information provided, neither Morningstar nor its third parties accept responsibility for any inaccuracy or for investment decisions or any other actions taken by any person on the basis or context of the information included. Past performance is not a reliable indicator of future performance. Morningstar does not guarantee the performance of any investment or the return of capital. Morningstar warns that (a) Morningstar has not considered any individual person’s objectives, financial </w:t>
      </w:r>
      <w:proofErr w:type="gramStart"/>
      <w:r w:rsidRPr="1A147AE5">
        <w:rPr>
          <w:color w:val="151515"/>
          <w:sz w:val="20"/>
          <w:szCs w:val="20"/>
          <w:shd w:val="clear" w:color="auto" w:fill="FFFFFF"/>
        </w:rPr>
        <w:t>situation</w:t>
      </w:r>
      <w:proofErr w:type="gramEnd"/>
      <w:r w:rsidRPr="1A147AE5">
        <w:rPr>
          <w:color w:val="151515"/>
          <w:sz w:val="20"/>
          <w:szCs w:val="20"/>
          <w:shd w:val="clear" w:color="auto" w:fill="FFFFFF"/>
        </w:rPr>
        <w:t xml:space="preserve"> or particular needs, and (b) individuals should seek advice and consider whether the advice is appropriate in light of their goals, objectives and current situation. Refer to our Financial Services Guide (FSG) for more information at </w:t>
      </w:r>
      <w:hyperlink r:id="rId11" w:history="1">
        <w:r w:rsidRPr="1A147AE5">
          <w:rPr>
            <w:rStyle w:val="Hyperlink"/>
            <w:color w:val="0052CC"/>
            <w:sz w:val="20"/>
            <w:szCs w:val="20"/>
            <w:u w:val="none"/>
          </w:rPr>
          <w:t>morningstarinvestments.com.au/</w:t>
        </w:r>
        <w:proofErr w:type="spellStart"/>
      </w:hyperlink>
      <w:hyperlink r:id="rId12" w:history="1">
        <w:r w:rsidRPr="1A147AE5">
          <w:rPr>
            <w:rStyle w:val="Hyperlink"/>
            <w:color w:val="0052CC"/>
            <w:sz w:val="20"/>
            <w:szCs w:val="20"/>
            <w:u w:val="none"/>
          </w:rPr>
          <w:t>fsg</w:t>
        </w:r>
        <w:proofErr w:type="spellEnd"/>
      </w:hyperlink>
      <w:r w:rsidRPr="1A147AE5">
        <w:rPr>
          <w:color w:val="151515"/>
          <w:sz w:val="20"/>
          <w:szCs w:val="20"/>
          <w:shd w:val="clear" w:color="auto" w:fill="FFFFFF"/>
        </w:rPr>
        <w:t>. Before making any decision about whether to invest in a financial product, individuals should obtain and consider the disclosure document. For a copy of the relevant disclosure document, please contact our Adviser Solutions Team on 1800 951 999.</w:t>
      </w:r>
    </w:p>
    <w:bookmarkEnd w:id="0"/>
    <w:p w14:paraId="61E53420" w14:textId="77777777" w:rsidR="00CB29BC" w:rsidRPr="00BC3FB4" w:rsidRDefault="00CB29BC" w:rsidP="00CB29BC">
      <w:pPr>
        <w:rPr>
          <w:b/>
          <w:bCs/>
          <w:sz w:val="21"/>
          <w:szCs w:val="21"/>
        </w:rPr>
      </w:pPr>
      <w:r w:rsidRPr="00BC3FB4">
        <w:rPr>
          <w:b/>
          <w:bCs/>
          <w:sz w:val="21"/>
          <w:szCs w:val="21"/>
        </w:rPr>
        <w:t>Instructions</w:t>
      </w:r>
    </w:p>
    <w:p w14:paraId="310DA2A4" w14:textId="77777777" w:rsidR="00CB29BC" w:rsidRPr="00BC3FB4" w:rsidRDefault="00CB29BC" w:rsidP="00CB29BC">
      <w:pPr>
        <w:rPr>
          <w:rFonts w:cs="Arial"/>
          <w:sz w:val="21"/>
          <w:szCs w:val="21"/>
        </w:rPr>
      </w:pPr>
      <w:r w:rsidRPr="00BC3FB4">
        <w:rPr>
          <w:rFonts w:cs="Arial"/>
          <w:sz w:val="21"/>
          <w:szCs w:val="21"/>
        </w:rPr>
        <w:t xml:space="preserve">The below table of contents highlights the key SOA topics provided by Morningstar. To navigate to the relevant section, simply press the ctrl key and click the relevant topic. </w:t>
      </w:r>
    </w:p>
    <w:p w14:paraId="22349722" w14:textId="73254072" w:rsidR="00CB29BC" w:rsidRDefault="00CB29BC">
      <w:r>
        <w:br w:type="page"/>
      </w:r>
    </w:p>
    <w:sdt>
      <w:sdtPr>
        <w:rPr>
          <w:rFonts w:asciiTheme="minorHAnsi" w:eastAsiaTheme="minorHAnsi" w:hAnsiTheme="minorHAnsi" w:cstheme="minorBidi"/>
          <w:color w:val="2B579A"/>
          <w:sz w:val="22"/>
          <w:szCs w:val="22"/>
          <w:shd w:val="clear" w:color="auto" w:fill="E6E6E6"/>
          <w:lang w:val="en-AU"/>
        </w:rPr>
        <w:id w:val="-1477528690"/>
        <w:docPartObj>
          <w:docPartGallery w:val="Table of Contents"/>
          <w:docPartUnique/>
        </w:docPartObj>
      </w:sdtPr>
      <w:sdtEndPr>
        <w:rPr>
          <w:b/>
          <w:bCs/>
          <w:noProof/>
          <w:color w:val="auto"/>
          <w:shd w:val="clear" w:color="auto" w:fill="auto"/>
        </w:rPr>
      </w:sdtEndPr>
      <w:sdtContent>
        <w:p w14:paraId="37D1FC28" w14:textId="36902C12" w:rsidR="00CB29BC" w:rsidRDefault="00CB29BC">
          <w:pPr>
            <w:pStyle w:val="TOCHeading"/>
          </w:pPr>
          <w:r>
            <w:t>Contents</w:t>
          </w:r>
        </w:p>
        <w:p w14:paraId="032719E8" w14:textId="30401CEA" w:rsidR="00F53217" w:rsidRDefault="00CB29BC">
          <w:pPr>
            <w:pStyle w:val="TOC1"/>
            <w:tabs>
              <w:tab w:val="right" w:leader="dot" w:pos="9016"/>
            </w:tabs>
            <w:rPr>
              <w:rFonts w:eastAsiaTheme="minorEastAsia"/>
              <w:noProof/>
              <w:lang w:eastAsia="en-AU"/>
            </w:rPr>
          </w:pPr>
          <w:r w:rsidRPr="00BC3FB4">
            <w:rPr>
              <w:color w:val="2B579A"/>
              <w:sz w:val="21"/>
              <w:szCs w:val="21"/>
              <w:shd w:val="clear" w:color="auto" w:fill="E6E6E6"/>
            </w:rPr>
            <w:fldChar w:fldCharType="begin"/>
          </w:r>
          <w:r w:rsidRPr="00BC3FB4">
            <w:rPr>
              <w:sz w:val="21"/>
              <w:szCs w:val="21"/>
            </w:rPr>
            <w:instrText xml:space="preserve"> TOC \o "1-3" \h \z \u </w:instrText>
          </w:r>
          <w:r w:rsidRPr="00BC3FB4">
            <w:rPr>
              <w:color w:val="2B579A"/>
              <w:sz w:val="21"/>
              <w:szCs w:val="21"/>
              <w:shd w:val="clear" w:color="auto" w:fill="E6E6E6"/>
            </w:rPr>
            <w:fldChar w:fldCharType="separate"/>
          </w:r>
          <w:hyperlink w:anchor="_Toc130885772" w:history="1">
            <w:r w:rsidR="00F53217" w:rsidRPr="0080401C">
              <w:rPr>
                <w:rStyle w:val="Hyperlink"/>
                <w:noProof/>
              </w:rPr>
              <w:t>Morningstar Overview</w:t>
            </w:r>
            <w:r w:rsidR="00F53217">
              <w:rPr>
                <w:noProof/>
                <w:webHidden/>
              </w:rPr>
              <w:tab/>
            </w:r>
            <w:r w:rsidR="00F53217">
              <w:rPr>
                <w:noProof/>
                <w:webHidden/>
              </w:rPr>
              <w:fldChar w:fldCharType="begin"/>
            </w:r>
            <w:r w:rsidR="00F53217">
              <w:rPr>
                <w:noProof/>
                <w:webHidden/>
              </w:rPr>
              <w:instrText xml:space="preserve"> PAGEREF _Toc130885772 \h </w:instrText>
            </w:r>
            <w:r w:rsidR="00F53217">
              <w:rPr>
                <w:noProof/>
                <w:webHidden/>
              </w:rPr>
            </w:r>
            <w:r w:rsidR="00F53217">
              <w:rPr>
                <w:noProof/>
                <w:webHidden/>
              </w:rPr>
              <w:fldChar w:fldCharType="separate"/>
            </w:r>
            <w:r w:rsidR="00F53217">
              <w:rPr>
                <w:noProof/>
                <w:webHidden/>
              </w:rPr>
              <w:t>3</w:t>
            </w:r>
            <w:r w:rsidR="00F53217">
              <w:rPr>
                <w:noProof/>
                <w:webHidden/>
              </w:rPr>
              <w:fldChar w:fldCharType="end"/>
            </w:r>
          </w:hyperlink>
        </w:p>
        <w:p w14:paraId="0E197EE6" w14:textId="79E0F94A" w:rsidR="00F53217" w:rsidRDefault="00000000">
          <w:pPr>
            <w:pStyle w:val="TOC2"/>
            <w:tabs>
              <w:tab w:val="right" w:leader="dot" w:pos="9016"/>
            </w:tabs>
            <w:rPr>
              <w:rFonts w:eastAsiaTheme="minorEastAsia"/>
              <w:noProof/>
              <w:lang w:eastAsia="en-AU"/>
            </w:rPr>
          </w:pPr>
          <w:hyperlink w:anchor="_Toc130885773" w:history="1">
            <w:r w:rsidR="00F53217" w:rsidRPr="0080401C">
              <w:rPr>
                <w:rStyle w:val="Hyperlink"/>
                <w:noProof/>
              </w:rPr>
              <w:t>Morningstar company overview</w:t>
            </w:r>
            <w:r w:rsidR="00F53217">
              <w:rPr>
                <w:noProof/>
                <w:webHidden/>
              </w:rPr>
              <w:tab/>
            </w:r>
            <w:r w:rsidR="00F53217">
              <w:rPr>
                <w:noProof/>
                <w:webHidden/>
              </w:rPr>
              <w:fldChar w:fldCharType="begin"/>
            </w:r>
            <w:r w:rsidR="00F53217">
              <w:rPr>
                <w:noProof/>
                <w:webHidden/>
              </w:rPr>
              <w:instrText xml:space="preserve"> PAGEREF _Toc130885773 \h </w:instrText>
            </w:r>
            <w:r w:rsidR="00F53217">
              <w:rPr>
                <w:noProof/>
                <w:webHidden/>
              </w:rPr>
            </w:r>
            <w:r w:rsidR="00F53217">
              <w:rPr>
                <w:noProof/>
                <w:webHidden/>
              </w:rPr>
              <w:fldChar w:fldCharType="separate"/>
            </w:r>
            <w:r w:rsidR="00F53217">
              <w:rPr>
                <w:noProof/>
                <w:webHidden/>
              </w:rPr>
              <w:t>3</w:t>
            </w:r>
            <w:r w:rsidR="00F53217">
              <w:rPr>
                <w:noProof/>
                <w:webHidden/>
              </w:rPr>
              <w:fldChar w:fldCharType="end"/>
            </w:r>
          </w:hyperlink>
        </w:p>
        <w:p w14:paraId="0325F814" w14:textId="07397E33" w:rsidR="00F53217" w:rsidRDefault="00000000">
          <w:pPr>
            <w:pStyle w:val="TOC2"/>
            <w:tabs>
              <w:tab w:val="right" w:leader="dot" w:pos="9016"/>
            </w:tabs>
            <w:rPr>
              <w:rFonts w:eastAsiaTheme="minorEastAsia"/>
              <w:noProof/>
              <w:lang w:eastAsia="en-AU"/>
            </w:rPr>
          </w:pPr>
          <w:hyperlink w:anchor="_Toc130885774" w:history="1">
            <w:r w:rsidR="00F53217" w:rsidRPr="0080401C">
              <w:rPr>
                <w:rStyle w:val="Hyperlink"/>
                <w:noProof/>
              </w:rPr>
              <w:t>Morningstar’s investment principles</w:t>
            </w:r>
            <w:r w:rsidR="00F53217">
              <w:rPr>
                <w:noProof/>
                <w:webHidden/>
              </w:rPr>
              <w:tab/>
            </w:r>
            <w:r w:rsidR="00F53217">
              <w:rPr>
                <w:noProof/>
                <w:webHidden/>
              </w:rPr>
              <w:fldChar w:fldCharType="begin"/>
            </w:r>
            <w:r w:rsidR="00F53217">
              <w:rPr>
                <w:noProof/>
                <w:webHidden/>
              </w:rPr>
              <w:instrText xml:space="preserve"> PAGEREF _Toc130885774 \h </w:instrText>
            </w:r>
            <w:r w:rsidR="00F53217">
              <w:rPr>
                <w:noProof/>
                <w:webHidden/>
              </w:rPr>
            </w:r>
            <w:r w:rsidR="00F53217">
              <w:rPr>
                <w:noProof/>
                <w:webHidden/>
              </w:rPr>
              <w:fldChar w:fldCharType="separate"/>
            </w:r>
            <w:r w:rsidR="00F53217">
              <w:rPr>
                <w:noProof/>
                <w:webHidden/>
              </w:rPr>
              <w:t>4</w:t>
            </w:r>
            <w:r w:rsidR="00F53217">
              <w:rPr>
                <w:noProof/>
                <w:webHidden/>
              </w:rPr>
              <w:fldChar w:fldCharType="end"/>
            </w:r>
          </w:hyperlink>
        </w:p>
        <w:p w14:paraId="62AADC6C" w14:textId="713A828F" w:rsidR="00F53217" w:rsidRDefault="00000000">
          <w:pPr>
            <w:pStyle w:val="TOC2"/>
            <w:tabs>
              <w:tab w:val="right" w:leader="dot" w:pos="9016"/>
            </w:tabs>
            <w:rPr>
              <w:rFonts w:eastAsiaTheme="minorEastAsia"/>
              <w:noProof/>
              <w:lang w:eastAsia="en-AU"/>
            </w:rPr>
          </w:pPr>
          <w:hyperlink w:anchor="_Toc130885775" w:history="1">
            <w:r w:rsidR="00F53217" w:rsidRPr="0080401C">
              <w:rPr>
                <w:rStyle w:val="Hyperlink"/>
                <w:noProof/>
              </w:rPr>
              <w:t>Holdings fall outside of approved product list</w:t>
            </w:r>
            <w:r w:rsidR="00F53217">
              <w:rPr>
                <w:noProof/>
                <w:webHidden/>
              </w:rPr>
              <w:tab/>
            </w:r>
            <w:r w:rsidR="00F53217">
              <w:rPr>
                <w:noProof/>
                <w:webHidden/>
              </w:rPr>
              <w:fldChar w:fldCharType="begin"/>
            </w:r>
            <w:r w:rsidR="00F53217">
              <w:rPr>
                <w:noProof/>
                <w:webHidden/>
              </w:rPr>
              <w:instrText xml:space="preserve"> PAGEREF _Toc130885775 \h </w:instrText>
            </w:r>
            <w:r w:rsidR="00F53217">
              <w:rPr>
                <w:noProof/>
                <w:webHidden/>
              </w:rPr>
            </w:r>
            <w:r w:rsidR="00F53217">
              <w:rPr>
                <w:noProof/>
                <w:webHidden/>
              </w:rPr>
              <w:fldChar w:fldCharType="separate"/>
            </w:r>
            <w:r w:rsidR="00F53217">
              <w:rPr>
                <w:noProof/>
                <w:webHidden/>
              </w:rPr>
              <w:t>6</w:t>
            </w:r>
            <w:r w:rsidR="00F53217">
              <w:rPr>
                <w:noProof/>
                <w:webHidden/>
              </w:rPr>
              <w:fldChar w:fldCharType="end"/>
            </w:r>
          </w:hyperlink>
        </w:p>
        <w:p w14:paraId="4FD70E2D" w14:textId="0CF11ACD" w:rsidR="00F53217" w:rsidRDefault="00000000">
          <w:pPr>
            <w:pStyle w:val="TOC1"/>
            <w:tabs>
              <w:tab w:val="right" w:leader="dot" w:pos="9016"/>
            </w:tabs>
            <w:rPr>
              <w:rFonts w:eastAsiaTheme="minorEastAsia"/>
              <w:noProof/>
              <w:lang w:eastAsia="en-AU"/>
            </w:rPr>
          </w:pPr>
          <w:hyperlink w:anchor="_Toc130885776" w:history="1">
            <w:r w:rsidR="00F53217" w:rsidRPr="0080401C">
              <w:rPr>
                <w:rStyle w:val="Hyperlink"/>
                <w:noProof/>
              </w:rPr>
              <w:t>Morningstar Medalist Core Portfolios</w:t>
            </w:r>
            <w:r w:rsidR="00F53217">
              <w:rPr>
                <w:noProof/>
                <w:webHidden/>
              </w:rPr>
              <w:tab/>
            </w:r>
            <w:r w:rsidR="00F53217">
              <w:rPr>
                <w:noProof/>
                <w:webHidden/>
              </w:rPr>
              <w:fldChar w:fldCharType="begin"/>
            </w:r>
            <w:r w:rsidR="00F53217">
              <w:rPr>
                <w:noProof/>
                <w:webHidden/>
              </w:rPr>
              <w:instrText xml:space="preserve"> PAGEREF _Toc130885776 \h </w:instrText>
            </w:r>
            <w:r w:rsidR="00F53217">
              <w:rPr>
                <w:noProof/>
                <w:webHidden/>
              </w:rPr>
            </w:r>
            <w:r w:rsidR="00F53217">
              <w:rPr>
                <w:noProof/>
                <w:webHidden/>
              </w:rPr>
              <w:fldChar w:fldCharType="separate"/>
            </w:r>
            <w:r w:rsidR="00F53217">
              <w:rPr>
                <w:noProof/>
                <w:webHidden/>
              </w:rPr>
              <w:t>7</w:t>
            </w:r>
            <w:r w:rsidR="00F53217">
              <w:rPr>
                <w:noProof/>
                <w:webHidden/>
              </w:rPr>
              <w:fldChar w:fldCharType="end"/>
            </w:r>
          </w:hyperlink>
        </w:p>
        <w:p w14:paraId="0847B742" w14:textId="584800E9" w:rsidR="00F53217" w:rsidRDefault="00000000">
          <w:pPr>
            <w:pStyle w:val="TOC2"/>
            <w:tabs>
              <w:tab w:val="right" w:leader="dot" w:pos="9016"/>
            </w:tabs>
            <w:rPr>
              <w:rFonts w:eastAsiaTheme="minorEastAsia"/>
              <w:noProof/>
              <w:lang w:eastAsia="en-AU"/>
            </w:rPr>
          </w:pPr>
          <w:hyperlink w:anchor="_Toc130885777" w:history="1">
            <w:r w:rsidR="00F53217" w:rsidRPr="0080401C">
              <w:rPr>
                <w:rStyle w:val="Hyperlink"/>
                <w:noProof/>
              </w:rPr>
              <w:t>Investment Approach</w:t>
            </w:r>
            <w:r w:rsidR="00F53217">
              <w:rPr>
                <w:noProof/>
                <w:webHidden/>
              </w:rPr>
              <w:tab/>
            </w:r>
            <w:r w:rsidR="00F53217">
              <w:rPr>
                <w:noProof/>
                <w:webHidden/>
              </w:rPr>
              <w:fldChar w:fldCharType="begin"/>
            </w:r>
            <w:r w:rsidR="00F53217">
              <w:rPr>
                <w:noProof/>
                <w:webHidden/>
              </w:rPr>
              <w:instrText xml:space="preserve"> PAGEREF _Toc130885777 \h </w:instrText>
            </w:r>
            <w:r w:rsidR="00F53217">
              <w:rPr>
                <w:noProof/>
                <w:webHidden/>
              </w:rPr>
            </w:r>
            <w:r w:rsidR="00F53217">
              <w:rPr>
                <w:noProof/>
                <w:webHidden/>
              </w:rPr>
              <w:fldChar w:fldCharType="separate"/>
            </w:r>
            <w:r w:rsidR="00F53217">
              <w:rPr>
                <w:noProof/>
                <w:webHidden/>
              </w:rPr>
              <w:t>7</w:t>
            </w:r>
            <w:r w:rsidR="00F53217">
              <w:rPr>
                <w:noProof/>
                <w:webHidden/>
              </w:rPr>
              <w:fldChar w:fldCharType="end"/>
            </w:r>
          </w:hyperlink>
        </w:p>
        <w:p w14:paraId="424E0976" w14:textId="05B99F5E" w:rsidR="00F53217" w:rsidRDefault="00000000">
          <w:pPr>
            <w:pStyle w:val="TOC2"/>
            <w:tabs>
              <w:tab w:val="right" w:leader="dot" w:pos="9016"/>
            </w:tabs>
            <w:rPr>
              <w:rFonts w:eastAsiaTheme="minorEastAsia"/>
              <w:noProof/>
              <w:lang w:eastAsia="en-AU"/>
            </w:rPr>
          </w:pPr>
          <w:hyperlink w:anchor="_Toc130885778" w:history="1">
            <w:r w:rsidR="00F53217" w:rsidRPr="0080401C">
              <w:rPr>
                <w:rStyle w:val="Hyperlink"/>
                <w:noProof/>
              </w:rPr>
              <w:t>Medalist Core Portfolios</w:t>
            </w:r>
            <w:r w:rsidR="00F53217">
              <w:rPr>
                <w:noProof/>
                <w:webHidden/>
              </w:rPr>
              <w:tab/>
            </w:r>
            <w:r w:rsidR="00F53217">
              <w:rPr>
                <w:noProof/>
                <w:webHidden/>
              </w:rPr>
              <w:fldChar w:fldCharType="begin"/>
            </w:r>
            <w:r w:rsidR="00F53217">
              <w:rPr>
                <w:noProof/>
                <w:webHidden/>
              </w:rPr>
              <w:instrText xml:space="preserve"> PAGEREF _Toc130885778 \h </w:instrText>
            </w:r>
            <w:r w:rsidR="00F53217">
              <w:rPr>
                <w:noProof/>
                <w:webHidden/>
              </w:rPr>
            </w:r>
            <w:r w:rsidR="00F53217">
              <w:rPr>
                <w:noProof/>
                <w:webHidden/>
              </w:rPr>
              <w:fldChar w:fldCharType="separate"/>
            </w:r>
            <w:r w:rsidR="00F53217">
              <w:rPr>
                <w:noProof/>
                <w:webHidden/>
              </w:rPr>
              <w:t>9</w:t>
            </w:r>
            <w:r w:rsidR="00F53217">
              <w:rPr>
                <w:noProof/>
                <w:webHidden/>
              </w:rPr>
              <w:fldChar w:fldCharType="end"/>
            </w:r>
          </w:hyperlink>
        </w:p>
        <w:p w14:paraId="46CDCD55" w14:textId="3A837714" w:rsidR="00F53217" w:rsidRDefault="00000000">
          <w:pPr>
            <w:pStyle w:val="TOC3"/>
            <w:tabs>
              <w:tab w:val="right" w:leader="dot" w:pos="9016"/>
            </w:tabs>
            <w:rPr>
              <w:rFonts w:eastAsiaTheme="minorEastAsia"/>
              <w:noProof/>
              <w:lang w:eastAsia="en-AU"/>
            </w:rPr>
          </w:pPr>
          <w:hyperlink w:anchor="_Toc130885779" w:history="1">
            <w:r w:rsidR="00F53217" w:rsidRPr="0080401C">
              <w:rPr>
                <w:rStyle w:val="Hyperlink"/>
                <w:noProof/>
              </w:rPr>
              <w:t>Conservative  (15)</w:t>
            </w:r>
            <w:r w:rsidR="00F53217">
              <w:rPr>
                <w:noProof/>
                <w:webHidden/>
              </w:rPr>
              <w:tab/>
            </w:r>
            <w:r w:rsidR="00F53217">
              <w:rPr>
                <w:noProof/>
                <w:webHidden/>
              </w:rPr>
              <w:fldChar w:fldCharType="begin"/>
            </w:r>
            <w:r w:rsidR="00F53217">
              <w:rPr>
                <w:noProof/>
                <w:webHidden/>
              </w:rPr>
              <w:instrText xml:space="preserve"> PAGEREF _Toc130885779 \h </w:instrText>
            </w:r>
            <w:r w:rsidR="00F53217">
              <w:rPr>
                <w:noProof/>
                <w:webHidden/>
              </w:rPr>
            </w:r>
            <w:r w:rsidR="00F53217">
              <w:rPr>
                <w:noProof/>
                <w:webHidden/>
              </w:rPr>
              <w:fldChar w:fldCharType="separate"/>
            </w:r>
            <w:r w:rsidR="00F53217">
              <w:rPr>
                <w:noProof/>
                <w:webHidden/>
              </w:rPr>
              <w:t>9</w:t>
            </w:r>
            <w:r w:rsidR="00F53217">
              <w:rPr>
                <w:noProof/>
                <w:webHidden/>
              </w:rPr>
              <w:fldChar w:fldCharType="end"/>
            </w:r>
          </w:hyperlink>
        </w:p>
        <w:p w14:paraId="604B0B12" w14:textId="747C0AE9" w:rsidR="00F53217" w:rsidRDefault="00000000">
          <w:pPr>
            <w:pStyle w:val="TOC3"/>
            <w:tabs>
              <w:tab w:val="right" w:leader="dot" w:pos="9016"/>
            </w:tabs>
            <w:rPr>
              <w:rFonts w:eastAsiaTheme="minorEastAsia"/>
              <w:noProof/>
              <w:lang w:eastAsia="en-AU"/>
            </w:rPr>
          </w:pPr>
          <w:hyperlink w:anchor="_Toc130885780" w:history="1">
            <w:r w:rsidR="00F53217" w:rsidRPr="0080401C">
              <w:rPr>
                <w:rStyle w:val="Hyperlink"/>
                <w:noProof/>
              </w:rPr>
              <w:t>Moderate (30)</w:t>
            </w:r>
            <w:r w:rsidR="00F53217">
              <w:rPr>
                <w:noProof/>
                <w:webHidden/>
              </w:rPr>
              <w:tab/>
            </w:r>
            <w:r w:rsidR="00F53217">
              <w:rPr>
                <w:noProof/>
                <w:webHidden/>
              </w:rPr>
              <w:fldChar w:fldCharType="begin"/>
            </w:r>
            <w:r w:rsidR="00F53217">
              <w:rPr>
                <w:noProof/>
                <w:webHidden/>
              </w:rPr>
              <w:instrText xml:space="preserve"> PAGEREF _Toc130885780 \h </w:instrText>
            </w:r>
            <w:r w:rsidR="00F53217">
              <w:rPr>
                <w:noProof/>
                <w:webHidden/>
              </w:rPr>
            </w:r>
            <w:r w:rsidR="00F53217">
              <w:rPr>
                <w:noProof/>
                <w:webHidden/>
              </w:rPr>
              <w:fldChar w:fldCharType="separate"/>
            </w:r>
            <w:r w:rsidR="00F53217">
              <w:rPr>
                <w:noProof/>
                <w:webHidden/>
              </w:rPr>
              <w:t>11</w:t>
            </w:r>
            <w:r w:rsidR="00F53217">
              <w:rPr>
                <w:noProof/>
                <w:webHidden/>
              </w:rPr>
              <w:fldChar w:fldCharType="end"/>
            </w:r>
          </w:hyperlink>
        </w:p>
        <w:p w14:paraId="39F49F89" w14:textId="606AA029" w:rsidR="00F53217" w:rsidRDefault="00000000">
          <w:pPr>
            <w:pStyle w:val="TOC3"/>
            <w:tabs>
              <w:tab w:val="right" w:leader="dot" w:pos="9016"/>
            </w:tabs>
            <w:rPr>
              <w:rFonts w:eastAsiaTheme="minorEastAsia"/>
              <w:noProof/>
              <w:lang w:eastAsia="en-AU"/>
            </w:rPr>
          </w:pPr>
          <w:hyperlink w:anchor="_Toc130885781" w:history="1">
            <w:r w:rsidR="00F53217" w:rsidRPr="0080401C">
              <w:rPr>
                <w:rStyle w:val="Hyperlink"/>
                <w:noProof/>
              </w:rPr>
              <w:t>Balanced (50)</w:t>
            </w:r>
            <w:r w:rsidR="00F53217">
              <w:rPr>
                <w:noProof/>
                <w:webHidden/>
              </w:rPr>
              <w:tab/>
            </w:r>
            <w:r w:rsidR="00F53217">
              <w:rPr>
                <w:noProof/>
                <w:webHidden/>
              </w:rPr>
              <w:fldChar w:fldCharType="begin"/>
            </w:r>
            <w:r w:rsidR="00F53217">
              <w:rPr>
                <w:noProof/>
                <w:webHidden/>
              </w:rPr>
              <w:instrText xml:space="preserve"> PAGEREF _Toc130885781 \h </w:instrText>
            </w:r>
            <w:r w:rsidR="00F53217">
              <w:rPr>
                <w:noProof/>
                <w:webHidden/>
              </w:rPr>
            </w:r>
            <w:r w:rsidR="00F53217">
              <w:rPr>
                <w:noProof/>
                <w:webHidden/>
              </w:rPr>
              <w:fldChar w:fldCharType="separate"/>
            </w:r>
            <w:r w:rsidR="00F53217">
              <w:rPr>
                <w:noProof/>
                <w:webHidden/>
              </w:rPr>
              <w:t>13</w:t>
            </w:r>
            <w:r w:rsidR="00F53217">
              <w:rPr>
                <w:noProof/>
                <w:webHidden/>
              </w:rPr>
              <w:fldChar w:fldCharType="end"/>
            </w:r>
          </w:hyperlink>
        </w:p>
        <w:p w14:paraId="7899171E" w14:textId="0C061657" w:rsidR="00F53217" w:rsidRDefault="00000000">
          <w:pPr>
            <w:pStyle w:val="TOC3"/>
            <w:tabs>
              <w:tab w:val="right" w:leader="dot" w:pos="9016"/>
            </w:tabs>
            <w:rPr>
              <w:rFonts w:eastAsiaTheme="minorEastAsia"/>
              <w:noProof/>
              <w:lang w:eastAsia="en-AU"/>
            </w:rPr>
          </w:pPr>
          <w:hyperlink w:anchor="_Toc130885782" w:history="1">
            <w:r w:rsidR="00F53217" w:rsidRPr="0080401C">
              <w:rPr>
                <w:rStyle w:val="Hyperlink"/>
                <w:noProof/>
              </w:rPr>
              <w:t>Growth (70)</w:t>
            </w:r>
            <w:r w:rsidR="00F53217">
              <w:rPr>
                <w:noProof/>
                <w:webHidden/>
              </w:rPr>
              <w:tab/>
            </w:r>
            <w:r w:rsidR="00F53217">
              <w:rPr>
                <w:noProof/>
                <w:webHidden/>
              </w:rPr>
              <w:fldChar w:fldCharType="begin"/>
            </w:r>
            <w:r w:rsidR="00F53217">
              <w:rPr>
                <w:noProof/>
                <w:webHidden/>
              </w:rPr>
              <w:instrText xml:space="preserve"> PAGEREF _Toc130885782 \h </w:instrText>
            </w:r>
            <w:r w:rsidR="00F53217">
              <w:rPr>
                <w:noProof/>
                <w:webHidden/>
              </w:rPr>
            </w:r>
            <w:r w:rsidR="00F53217">
              <w:rPr>
                <w:noProof/>
                <w:webHidden/>
              </w:rPr>
              <w:fldChar w:fldCharType="separate"/>
            </w:r>
            <w:r w:rsidR="00F53217">
              <w:rPr>
                <w:noProof/>
                <w:webHidden/>
              </w:rPr>
              <w:t>15</w:t>
            </w:r>
            <w:r w:rsidR="00F53217">
              <w:rPr>
                <w:noProof/>
                <w:webHidden/>
              </w:rPr>
              <w:fldChar w:fldCharType="end"/>
            </w:r>
          </w:hyperlink>
        </w:p>
        <w:p w14:paraId="2418DDA0" w14:textId="12A64F8C" w:rsidR="00F53217" w:rsidRDefault="00000000">
          <w:pPr>
            <w:pStyle w:val="TOC3"/>
            <w:tabs>
              <w:tab w:val="right" w:leader="dot" w:pos="9016"/>
            </w:tabs>
            <w:rPr>
              <w:rFonts w:eastAsiaTheme="minorEastAsia"/>
              <w:noProof/>
              <w:lang w:eastAsia="en-AU"/>
            </w:rPr>
          </w:pPr>
          <w:hyperlink w:anchor="_Toc130885783" w:history="1">
            <w:r w:rsidR="00F53217" w:rsidRPr="0080401C">
              <w:rPr>
                <w:rStyle w:val="Hyperlink"/>
                <w:noProof/>
              </w:rPr>
              <w:t>High Growth (90)</w:t>
            </w:r>
            <w:r w:rsidR="00F53217">
              <w:rPr>
                <w:noProof/>
                <w:webHidden/>
              </w:rPr>
              <w:tab/>
            </w:r>
            <w:r w:rsidR="00F53217">
              <w:rPr>
                <w:noProof/>
                <w:webHidden/>
              </w:rPr>
              <w:fldChar w:fldCharType="begin"/>
            </w:r>
            <w:r w:rsidR="00F53217">
              <w:rPr>
                <w:noProof/>
                <w:webHidden/>
              </w:rPr>
              <w:instrText xml:space="preserve"> PAGEREF _Toc130885783 \h </w:instrText>
            </w:r>
            <w:r w:rsidR="00F53217">
              <w:rPr>
                <w:noProof/>
                <w:webHidden/>
              </w:rPr>
            </w:r>
            <w:r w:rsidR="00F53217">
              <w:rPr>
                <w:noProof/>
                <w:webHidden/>
              </w:rPr>
              <w:fldChar w:fldCharType="separate"/>
            </w:r>
            <w:r w:rsidR="00F53217">
              <w:rPr>
                <w:noProof/>
                <w:webHidden/>
              </w:rPr>
              <w:t>17</w:t>
            </w:r>
            <w:r w:rsidR="00F53217">
              <w:rPr>
                <w:noProof/>
                <w:webHidden/>
              </w:rPr>
              <w:fldChar w:fldCharType="end"/>
            </w:r>
          </w:hyperlink>
        </w:p>
        <w:p w14:paraId="68FB0330" w14:textId="0D07A139" w:rsidR="00F53217" w:rsidRDefault="00000000">
          <w:pPr>
            <w:pStyle w:val="TOC3"/>
            <w:tabs>
              <w:tab w:val="right" w:leader="dot" w:pos="9016"/>
            </w:tabs>
            <w:rPr>
              <w:rFonts w:eastAsiaTheme="minorEastAsia"/>
              <w:noProof/>
              <w:lang w:eastAsia="en-AU"/>
            </w:rPr>
          </w:pPr>
          <w:hyperlink w:anchor="_Toc130885784" w:history="1">
            <w:r w:rsidR="00F53217" w:rsidRPr="0080401C">
              <w:rPr>
                <w:rStyle w:val="Hyperlink"/>
                <w:noProof/>
              </w:rPr>
              <w:t>All Growth (98)</w:t>
            </w:r>
            <w:r w:rsidR="00F53217">
              <w:rPr>
                <w:noProof/>
                <w:webHidden/>
              </w:rPr>
              <w:tab/>
            </w:r>
            <w:r w:rsidR="00F53217">
              <w:rPr>
                <w:noProof/>
                <w:webHidden/>
              </w:rPr>
              <w:fldChar w:fldCharType="begin"/>
            </w:r>
            <w:r w:rsidR="00F53217">
              <w:rPr>
                <w:noProof/>
                <w:webHidden/>
              </w:rPr>
              <w:instrText xml:space="preserve"> PAGEREF _Toc130885784 \h </w:instrText>
            </w:r>
            <w:r w:rsidR="00F53217">
              <w:rPr>
                <w:noProof/>
                <w:webHidden/>
              </w:rPr>
            </w:r>
            <w:r w:rsidR="00F53217">
              <w:rPr>
                <w:noProof/>
                <w:webHidden/>
              </w:rPr>
              <w:fldChar w:fldCharType="separate"/>
            </w:r>
            <w:r w:rsidR="00F53217">
              <w:rPr>
                <w:noProof/>
                <w:webHidden/>
              </w:rPr>
              <w:t>19</w:t>
            </w:r>
            <w:r w:rsidR="00F53217">
              <w:rPr>
                <w:noProof/>
                <w:webHidden/>
              </w:rPr>
              <w:fldChar w:fldCharType="end"/>
            </w:r>
          </w:hyperlink>
        </w:p>
        <w:p w14:paraId="00B62DE5" w14:textId="17B35BE1" w:rsidR="00F53217" w:rsidRDefault="00000000">
          <w:pPr>
            <w:pStyle w:val="TOC2"/>
            <w:tabs>
              <w:tab w:val="right" w:leader="dot" w:pos="9016"/>
            </w:tabs>
            <w:rPr>
              <w:rFonts w:eastAsiaTheme="minorEastAsia"/>
              <w:noProof/>
              <w:lang w:eastAsia="en-AU"/>
            </w:rPr>
          </w:pPr>
          <w:hyperlink w:anchor="_Toc130885785" w:history="1">
            <w:r w:rsidR="00F53217" w:rsidRPr="0080401C">
              <w:rPr>
                <w:rStyle w:val="Hyperlink"/>
                <w:noProof/>
              </w:rPr>
              <w:t>Key Benefits and Risks</w:t>
            </w:r>
            <w:r w:rsidR="00F53217">
              <w:rPr>
                <w:noProof/>
                <w:webHidden/>
              </w:rPr>
              <w:tab/>
            </w:r>
            <w:r w:rsidR="00F53217">
              <w:rPr>
                <w:noProof/>
                <w:webHidden/>
              </w:rPr>
              <w:fldChar w:fldCharType="begin"/>
            </w:r>
            <w:r w:rsidR="00F53217">
              <w:rPr>
                <w:noProof/>
                <w:webHidden/>
              </w:rPr>
              <w:instrText xml:space="preserve"> PAGEREF _Toc130885785 \h </w:instrText>
            </w:r>
            <w:r w:rsidR="00F53217">
              <w:rPr>
                <w:noProof/>
                <w:webHidden/>
              </w:rPr>
            </w:r>
            <w:r w:rsidR="00F53217">
              <w:rPr>
                <w:noProof/>
                <w:webHidden/>
              </w:rPr>
              <w:fldChar w:fldCharType="separate"/>
            </w:r>
            <w:r w:rsidR="00F53217">
              <w:rPr>
                <w:noProof/>
                <w:webHidden/>
              </w:rPr>
              <w:t>21</w:t>
            </w:r>
            <w:r w:rsidR="00F53217">
              <w:rPr>
                <w:noProof/>
                <w:webHidden/>
              </w:rPr>
              <w:fldChar w:fldCharType="end"/>
            </w:r>
          </w:hyperlink>
        </w:p>
        <w:p w14:paraId="680B5B6B" w14:textId="35C89BEA" w:rsidR="00F53217" w:rsidRDefault="00000000">
          <w:pPr>
            <w:pStyle w:val="TOC3"/>
            <w:tabs>
              <w:tab w:val="right" w:leader="dot" w:pos="9016"/>
            </w:tabs>
            <w:rPr>
              <w:rFonts w:eastAsiaTheme="minorEastAsia"/>
              <w:noProof/>
              <w:lang w:eastAsia="en-AU"/>
            </w:rPr>
          </w:pPr>
          <w:hyperlink w:anchor="_Toc130885786" w:history="1">
            <w:r w:rsidR="00F53217" w:rsidRPr="0080401C">
              <w:rPr>
                <w:rStyle w:val="Hyperlink"/>
                <w:noProof/>
              </w:rPr>
              <w:t>Benefits</w:t>
            </w:r>
            <w:r w:rsidR="00F53217">
              <w:rPr>
                <w:noProof/>
                <w:webHidden/>
              </w:rPr>
              <w:tab/>
            </w:r>
            <w:r w:rsidR="00F53217">
              <w:rPr>
                <w:noProof/>
                <w:webHidden/>
              </w:rPr>
              <w:fldChar w:fldCharType="begin"/>
            </w:r>
            <w:r w:rsidR="00F53217">
              <w:rPr>
                <w:noProof/>
                <w:webHidden/>
              </w:rPr>
              <w:instrText xml:space="preserve"> PAGEREF _Toc130885786 \h </w:instrText>
            </w:r>
            <w:r w:rsidR="00F53217">
              <w:rPr>
                <w:noProof/>
                <w:webHidden/>
              </w:rPr>
            </w:r>
            <w:r w:rsidR="00F53217">
              <w:rPr>
                <w:noProof/>
                <w:webHidden/>
              </w:rPr>
              <w:fldChar w:fldCharType="separate"/>
            </w:r>
            <w:r w:rsidR="00F53217">
              <w:rPr>
                <w:noProof/>
                <w:webHidden/>
              </w:rPr>
              <w:t>21</w:t>
            </w:r>
            <w:r w:rsidR="00F53217">
              <w:rPr>
                <w:noProof/>
                <w:webHidden/>
              </w:rPr>
              <w:fldChar w:fldCharType="end"/>
            </w:r>
          </w:hyperlink>
        </w:p>
        <w:p w14:paraId="16BEFEAD" w14:textId="5D8C52A6" w:rsidR="00F53217" w:rsidRDefault="00000000">
          <w:pPr>
            <w:pStyle w:val="TOC3"/>
            <w:tabs>
              <w:tab w:val="right" w:leader="dot" w:pos="9016"/>
            </w:tabs>
            <w:rPr>
              <w:rFonts w:eastAsiaTheme="minorEastAsia"/>
              <w:noProof/>
              <w:lang w:eastAsia="en-AU"/>
            </w:rPr>
          </w:pPr>
          <w:hyperlink w:anchor="_Toc130885787" w:history="1">
            <w:r w:rsidR="00F53217" w:rsidRPr="0080401C">
              <w:rPr>
                <w:rStyle w:val="Hyperlink"/>
                <w:noProof/>
              </w:rPr>
              <w:t>Risks</w:t>
            </w:r>
            <w:r w:rsidR="00F53217">
              <w:rPr>
                <w:noProof/>
                <w:webHidden/>
              </w:rPr>
              <w:tab/>
            </w:r>
            <w:r w:rsidR="00F53217">
              <w:rPr>
                <w:noProof/>
                <w:webHidden/>
              </w:rPr>
              <w:fldChar w:fldCharType="begin"/>
            </w:r>
            <w:r w:rsidR="00F53217">
              <w:rPr>
                <w:noProof/>
                <w:webHidden/>
              </w:rPr>
              <w:instrText xml:space="preserve"> PAGEREF _Toc130885787 \h </w:instrText>
            </w:r>
            <w:r w:rsidR="00F53217">
              <w:rPr>
                <w:noProof/>
                <w:webHidden/>
              </w:rPr>
            </w:r>
            <w:r w:rsidR="00F53217">
              <w:rPr>
                <w:noProof/>
                <w:webHidden/>
              </w:rPr>
              <w:fldChar w:fldCharType="separate"/>
            </w:r>
            <w:r w:rsidR="00F53217">
              <w:rPr>
                <w:noProof/>
                <w:webHidden/>
              </w:rPr>
              <w:t>21</w:t>
            </w:r>
            <w:r w:rsidR="00F53217">
              <w:rPr>
                <w:noProof/>
                <w:webHidden/>
              </w:rPr>
              <w:fldChar w:fldCharType="end"/>
            </w:r>
          </w:hyperlink>
        </w:p>
        <w:p w14:paraId="383CF9E1" w14:textId="2AA0F3DF" w:rsidR="00F53217" w:rsidRDefault="00000000">
          <w:pPr>
            <w:pStyle w:val="TOC2"/>
            <w:tabs>
              <w:tab w:val="right" w:leader="dot" w:pos="9016"/>
            </w:tabs>
            <w:rPr>
              <w:rFonts w:eastAsiaTheme="minorEastAsia"/>
              <w:noProof/>
              <w:lang w:eastAsia="en-AU"/>
            </w:rPr>
          </w:pPr>
          <w:hyperlink w:anchor="_Toc130885788" w:history="1">
            <w:r w:rsidR="00F53217" w:rsidRPr="0080401C">
              <w:rPr>
                <w:rStyle w:val="Hyperlink"/>
                <w:noProof/>
              </w:rPr>
              <w:t>Fees</w:t>
            </w:r>
            <w:r w:rsidR="00F53217">
              <w:rPr>
                <w:noProof/>
                <w:webHidden/>
              </w:rPr>
              <w:tab/>
            </w:r>
            <w:r w:rsidR="00F53217">
              <w:rPr>
                <w:noProof/>
                <w:webHidden/>
              </w:rPr>
              <w:fldChar w:fldCharType="begin"/>
            </w:r>
            <w:r w:rsidR="00F53217">
              <w:rPr>
                <w:noProof/>
                <w:webHidden/>
              </w:rPr>
              <w:instrText xml:space="preserve"> PAGEREF _Toc130885788 \h </w:instrText>
            </w:r>
            <w:r w:rsidR="00F53217">
              <w:rPr>
                <w:noProof/>
                <w:webHidden/>
              </w:rPr>
            </w:r>
            <w:r w:rsidR="00F53217">
              <w:rPr>
                <w:noProof/>
                <w:webHidden/>
              </w:rPr>
              <w:fldChar w:fldCharType="separate"/>
            </w:r>
            <w:r w:rsidR="00F53217">
              <w:rPr>
                <w:noProof/>
                <w:webHidden/>
              </w:rPr>
              <w:t>22</w:t>
            </w:r>
            <w:r w:rsidR="00F53217">
              <w:rPr>
                <w:noProof/>
                <w:webHidden/>
              </w:rPr>
              <w:fldChar w:fldCharType="end"/>
            </w:r>
          </w:hyperlink>
        </w:p>
        <w:p w14:paraId="164B0E13" w14:textId="11CBF831" w:rsidR="00F53217" w:rsidRDefault="00000000">
          <w:pPr>
            <w:pStyle w:val="TOC1"/>
            <w:tabs>
              <w:tab w:val="right" w:leader="dot" w:pos="9016"/>
            </w:tabs>
            <w:rPr>
              <w:rFonts w:eastAsiaTheme="minorEastAsia"/>
              <w:noProof/>
              <w:lang w:eastAsia="en-AU"/>
            </w:rPr>
          </w:pPr>
          <w:hyperlink w:anchor="_Toc130885789" w:history="1">
            <w:r w:rsidR="00F53217" w:rsidRPr="0080401C">
              <w:rPr>
                <w:rStyle w:val="Hyperlink"/>
                <w:noProof/>
              </w:rPr>
              <w:t>Fund Manager Commentary from Morningstar Australasia Fund Research</w:t>
            </w:r>
            <w:r w:rsidR="00F53217">
              <w:rPr>
                <w:noProof/>
                <w:webHidden/>
              </w:rPr>
              <w:tab/>
            </w:r>
            <w:r w:rsidR="00F53217">
              <w:rPr>
                <w:noProof/>
                <w:webHidden/>
              </w:rPr>
              <w:fldChar w:fldCharType="begin"/>
            </w:r>
            <w:r w:rsidR="00F53217">
              <w:rPr>
                <w:noProof/>
                <w:webHidden/>
              </w:rPr>
              <w:instrText xml:space="preserve"> PAGEREF _Toc130885789 \h </w:instrText>
            </w:r>
            <w:r w:rsidR="00F53217">
              <w:rPr>
                <w:noProof/>
                <w:webHidden/>
              </w:rPr>
            </w:r>
            <w:r w:rsidR="00F53217">
              <w:rPr>
                <w:noProof/>
                <w:webHidden/>
              </w:rPr>
              <w:fldChar w:fldCharType="separate"/>
            </w:r>
            <w:r w:rsidR="00F53217">
              <w:rPr>
                <w:noProof/>
                <w:webHidden/>
              </w:rPr>
              <w:t>23</w:t>
            </w:r>
            <w:r w:rsidR="00F53217">
              <w:rPr>
                <w:noProof/>
                <w:webHidden/>
              </w:rPr>
              <w:fldChar w:fldCharType="end"/>
            </w:r>
          </w:hyperlink>
        </w:p>
        <w:p w14:paraId="5867A081" w14:textId="4E808EAF" w:rsidR="00F53217" w:rsidRDefault="00000000">
          <w:pPr>
            <w:pStyle w:val="TOC2"/>
            <w:tabs>
              <w:tab w:val="right" w:leader="dot" w:pos="9016"/>
            </w:tabs>
            <w:rPr>
              <w:rFonts w:eastAsiaTheme="minorEastAsia"/>
              <w:noProof/>
              <w:lang w:eastAsia="en-AU"/>
            </w:rPr>
          </w:pPr>
          <w:hyperlink w:anchor="_Toc130885790" w:history="1">
            <w:r w:rsidR="00F53217" w:rsidRPr="0080401C">
              <w:rPr>
                <w:rStyle w:val="Hyperlink"/>
                <w:noProof/>
              </w:rPr>
              <w:t>Australian Equity</w:t>
            </w:r>
            <w:r w:rsidR="00F53217">
              <w:rPr>
                <w:noProof/>
                <w:webHidden/>
              </w:rPr>
              <w:tab/>
            </w:r>
            <w:r w:rsidR="00F53217">
              <w:rPr>
                <w:noProof/>
                <w:webHidden/>
              </w:rPr>
              <w:fldChar w:fldCharType="begin"/>
            </w:r>
            <w:r w:rsidR="00F53217">
              <w:rPr>
                <w:noProof/>
                <w:webHidden/>
              </w:rPr>
              <w:instrText xml:space="preserve"> PAGEREF _Toc130885790 \h </w:instrText>
            </w:r>
            <w:r w:rsidR="00F53217">
              <w:rPr>
                <w:noProof/>
                <w:webHidden/>
              </w:rPr>
            </w:r>
            <w:r w:rsidR="00F53217">
              <w:rPr>
                <w:noProof/>
                <w:webHidden/>
              </w:rPr>
              <w:fldChar w:fldCharType="separate"/>
            </w:r>
            <w:r w:rsidR="00F53217">
              <w:rPr>
                <w:noProof/>
                <w:webHidden/>
              </w:rPr>
              <w:t>23</w:t>
            </w:r>
            <w:r w:rsidR="00F53217">
              <w:rPr>
                <w:noProof/>
                <w:webHidden/>
              </w:rPr>
              <w:fldChar w:fldCharType="end"/>
            </w:r>
          </w:hyperlink>
        </w:p>
        <w:p w14:paraId="1A855825" w14:textId="58B3A2AA" w:rsidR="00F53217" w:rsidRDefault="00000000">
          <w:pPr>
            <w:pStyle w:val="TOC2"/>
            <w:tabs>
              <w:tab w:val="right" w:leader="dot" w:pos="9016"/>
            </w:tabs>
            <w:rPr>
              <w:rFonts w:eastAsiaTheme="minorEastAsia"/>
              <w:noProof/>
              <w:lang w:eastAsia="en-AU"/>
            </w:rPr>
          </w:pPr>
          <w:hyperlink w:anchor="_Toc130885791" w:history="1">
            <w:r w:rsidR="00F53217" w:rsidRPr="0080401C">
              <w:rPr>
                <w:rStyle w:val="Hyperlink"/>
                <w:noProof/>
              </w:rPr>
              <w:t>Global Equity</w:t>
            </w:r>
            <w:r w:rsidR="00F53217">
              <w:rPr>
                <w:noProof/>
                <w:webHidden/>
              </w:rPr>
              <w:tab/>
            </w:r>
            <w:r w:rsidR="00F53217">
              <w:rPr>
                <w:noProof/>
                <w:webHidden/>
              </w:rPr>
              <w:fldChar w:fldCharType="begin"/>
            </w:r>
            <w:r w:rsidR="00F53217">
              <w:rPr>
                <w:noProof/>
                <w:webHidden/>
              </w:rPr>
              <w:instrText xml:space="preserve"> PAGEREF _Toc130885791 \h </w:instrText>
            </w:r>
            <w:r w:rsidR="00F53217">
              <w:rPr>
                <w:noProof/>
                <w:webHidden/>
              </w:rPr>
            </w:r>
            <w:r w:rsidR="00F53217">
              <w:rPr>
                <w:noProof/>
                <w:webHidden/>
              </w:rPr>
              <w:fldChar w:fldCharType="separate"/>
            </w:r>
            <w:r w:rsidR="00F53217">
              <w:rPr>
                <w:noProof/>
                <w:webHidden/>
              </w:rPr>
              <w:t>23</w:t>
            </w:r>
            <w:r w:rsidR="00F53217">
              <w:rPr>
                <w:noProof/>
                <w:webHidden/>
              </w:rPr>
              <w:fldChar w:fldCharType="end"/>
            </w:r>
          </w:hyperlink>
        </w:p>
        <w:p w14:paraId="089350C5" w14:textId="37A37328" w:rsidR="00F53217" w:rsidRDefault="00000000">
          <w:pPr>
            <w:pStyle w:val="TOC2"/>
            <w:tabs>
              <w:tab w:val="right" w:leader="dot" w:pos="9016"/>
            </w:tabs>
            <w:rPr>
              <w:rFonts w:eastAsiaTheme="minorEastAsia"/>
              <w:noProof/>
              <w:lang w:eastAsia="en-AU"/>
            </w:rPr>
          </w:pPr>
          <w:hyperlink w:anchor="_Toc130885792" w:history="1">
            <w:r w:rsidR="00F53217" w:rsidRPr="0080401C">
              <w:rPr>
                <w:rStyle w:val="Hyperlink"/>
                <w:noProof/>
              </w:rPr>
              <w:t>Australian Fixed Interest</w:t>
            </w:r>
            <w:r w:rsidR="00F53217">
              <w:rPr>
                <w:noProof/>
                <w:webHidden/>
              </w:rPr>
              <w:tab/>
            </w:r>
            <w:r w:rsidR="00F53217">
              <w:rPr>
                <w:noProof/>
                <w:webHidden/>
              </w:rPr>
              <w:fldChar w:fldCharType="begin"/>
            </w:r>
            <w:r w:rsidR="00F53217">
              <w:rPr>
                <w:noProof/>
                <w:webHidden/>
              </w:rPr>
              <w:instrText xml:space="preserve"> PAGEREF _Toc130885792 \h </w:instrText>
            </w:r>
            <w:r w:rsidR="00F53217">
              <w:rPr>
                <w:noProof/>
                <w:webHidden/>
              </w:rPr>
            </w:r>
            <w:r w:rsidR="00F53217">
              <w:rPr>
                <w:noProof/>
                <w:webHidden/>
              </w:rPr>
              <w:fldChar w:fldCharType="separate"/>
            </w:r>
            <w:r w:rsidR="00F53217">
              <w:rPr>
                <w:noProof/>
                <w:webHidden/>
              </w:rPr>
              <w:t>24</w:t>
            </w:r>
            <w:r w:rsidR="00F53217">
              <w:rPr>
                <w:noProof/>
                <w:webHidden/>
              </w:rPr>
              <w:fldChar w:fldCharType="end"/>
            </w:r>
          </w:hyperlink>
        </w:p>
        <w:p w14:paraId="168E5A6E" w14:textId="3B19E0A1" w:rsidR="00F53217" w:rsidRDefault="00000000">
          <w:pPr>
            <w:pStyle w:val="TOC2"/>
            <w:tabs>
              <w:tab w:val="right" w:leader="dot" w:pos="9016"/>
            </w:tabs>
            <w:rPr>
              <w:rFonts w:eastAsiaTheme="minorEastAsia"/>
              <w:noProof/>
              <w:lang w:eastAsia="en-AU"/>
            </w:rPr>
          </w:pPr>
          <w:hyperlink w:anchor="_Toc130885793" w:history="1">
            <w:r w:rsidR="00F53217" w:rsidRPr="0080401C">
              <w:rPr>
                <w:rStyle w:val="Hyperlink"/>
                <w:noProof/>
              </w:rPr>
              <w:t>International Fixed Interest</w:t>
            </w:r>
            <w:r w:rsidR="00F53217">
              <w:rPr>
                <w:noProof/>
                <w:webHidden/>
              </w:rPr>
              <w:tab/>
            </w:r>
            <w:r w:rsidR="00F53217">
              <w:rPr>
                <w:noProof/>
                <w:webHidden/>
              </w:rPr>
              <w:fldChar w:fldCharType="begin"/>
            </w:r>
            <w:r w:rsidR="00F53217">
              <w:rPr>
                <w:noProof/>
                <w:webHidden/>
              </w:rPr>
              <w:instrText xml:space="preserve"> PAGEREF _Toc130885793 \h </w:instrText>
            </w:r>
            <w:r w:rsidR="00F53217">
              <w:rPr>
                <w:noProof/>
                <w:webHidden/>
              </w:rPr>
            </w:r>
            <w:r w:rsidR="00F53217">
              <w:rPr>
                <w:noProof/>
                <w:webHidden/>
              </w:rPr>
              <w:fldChar w:fldCharType="separate"/>
            </w:r>
            <w:r w:rsidR="00F53217">
              <w:rPr>
                <w:noProof/>
                <w:webHidden/>
              </w:rPr>
              <w:t>25</w:t>
            </w:r>
            <w:r w:rsidR="00F53217">
              <w:rPr>
                <w:noProof/>
                <w:webHidden/>
              </w:rPr>
              <w:fldChar w:fldCharType="end"/>
            </w:r>
          </w:hyperlink>
        </w:p>
        <w:p w14:paraId="6E2FDEA9" w14:textId="08F53BCC" w:rsidR="00F53217" w:rsidRDefault="00000000">
          <w:pPr>
            <w:pStyle w:val="TOC2"/>
            <w:tabs>
              <w:tab w:val="right" w:leader="dot" w:pos="9016"/>
            </w:tabs>
            <w:rPr>
              <w:rFonts w:eastAsiaTheme="minorEastAsia"/>
              <w:noProof/>
              <w:lang w:eastAsia="en-AU"/>
            </w:rPr>
          </w:pPr>
          <w:hyperlink w:anchor="_Toc130885794" w:history="1">
            <w:r w:rsidR="00F53217" w:rsidRPr="0080401C">
              <w:rPr>
                <w:rStyle w:val="Hyperlink"/>
                <w:noProof/>
              </w:rPr>
              <w:t>Real Assets</w:t>
            </w:r>
            <w:r w:rsidR="00F53217">
              <w:rPr>
                <w:noProof/>
                <w:webHidden/>
              </w:rPr>
              <w:tab/>
            </w:r>
            <w:r w:rsidR="00F53217">
              <w:rPr>
                <w:noProof/>
                <w:webHidden/>
              </w:rPr>
              <w:fldChar w:fldCharType="begin"/>
            </w:r>
            <w:r w:rsidR="00F53217">
              <w:rPr>
                <w:noProof/>
                <w:webHidden/>
              </w:rPr>
              <w:instrText xml:space="preserve"> PAGEREF _Toc130885794 \h </w:instrText>
            </w:r>
            <w:r w:rsidR="00F53217">
              <w:rPr>
                <w:noProof/>
                <w:webHidden/>
              </w:rPr>
            </w:r>
            <w:r w:rsidR="00F53217">
              <w:rPr>
                <w:noProof/>
                <w:webHidden/>
              </w:rPr>
              <w:fldChar w:fldCharType="separate"/>
            </w:r>
            <w:r w:rsidR="00F53217">
              <w:rPr>
                <w:noProof/>
                <w:webHidden/>
              </w:rPr>
              <w:t>25</w:t>
            </w:r>
            <w:r w:rsidR="00F53217">
              <w:rPr>
                <w:noProof/>
                <w:webHidden/>
              </w:rPr>
              <w:fldChar w:fldCharType="end"/>
            </w:r>
          </w:hyperlink>
        </w:p>
        <w:p w14:paraId="0DC35A09" w14:textId="3D7DFC25" w:rsidR="00CB29BC" w:rsidRDefault="00CB29BC">
          <w:r w:rsidRPr="00BC3FB4">
            <w:rPr>
              <w:b/>
              <w:bCs/>
              <w:noProof/>
              <w:color w:val="2B579A"/>
              <w:sz w:val="21"/>
              <w:szCs w:val="21"/>
              <w:shd w:val="clear" w:color="auto" w:fill="E6E6E6"/>
            </w:rPr>
            <w:fldChar w:fldCharType="end"/>
          </w:r>
        </w:p>
      </w:sdtContent>
    </w:sdt>
    <w:p w14:paraId="77265191" w14:textId="5B831C4C" w:rsidR="00CB29BC" w:rsidRDefault="00CB29BC">
      <w:r>
        <w:br w:type="page"/>
      </w:r>
    </w:p>
    <w:p w14:paraId="2B57DB98" w14:textId="77777777" w:rsidR="00CB29BC" w:rsidRDefault="00CB29BC" w:rsidP="00CB29BC">
      <w:pPr>
        <w:pStyle w:val="Heading1"/>
      </w:pPr>
      <w:bookmarkStart w:id="1" w:name="_Toc130885772"/>
      <w:r>
        <w:lastRenderedPageBreak/>
        <w:t>Morningstar Overview</w:t>
      </w:r>
      <w:bookmarkEnd w:id="1"/>
    </w:p>
    <w:p w14:paraId="649018D4" w14:textId="77777777" w:rsidR="00CB29BC" w:rsidRPr="0083460D" w:rsidRDefault="00CB29BC" w:rsidP="00CB29BC">
      <w:pPr>
        <w:pStyle w:val="Heading2"/>
      </w:pPr>
      <w:bookmarkStart w:id="2" w:name="_Toc118898671"/>
      <w:bookmarkStart w:id="3" w:name="_Toc130885773"/>
      <w:r w:rsidRPr="0083460D">
        <w:t>Morningstar company overview</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7238"/>
      </w:tblGrid>
      <w:tr w:rsidR="00CB29BC" w:rsidRPr="00BC3FB4" w14:paraId="431F7616" w14:textId="77777777" w:rsidTr="6455408F">
        <w:tc>
          <w:tcPr>
            <w:tcW w:w="1788" w:type="dxa"/>
          </w:tcPr>
          <w:p w14:paraId="221D597A" w14:textId="77777777" w:rsidR="00CB29BC" w:rsidRPr="00BC3FB4" w:rsidRDefault="00CB29BC" w:rsidP="1A147AE5">
            <w:pPr>
              <w:spacing w:before="120" w:after="120" w:line="276" w:lineRule="auto"/>
              <w:rPr>
                <w:rFonts w:cs="Arial"/>
                <w:i/>
                <w:iCs/>
                <w:sz w:val="21"/>
                <w:szCs w:val="21"/>
              </w:rPr>
            </w:pPr>
            <w:bookmarkStart w:id="4" w:name="_Hlk39212827"/>
            <w:r w:rsidRPr="6455408F">
              <w:rPr>
                <w:rFonts w:cs="Arial"/>
                <w:i/>
                <w:iCs/>
                <w:sz w:val="21"/>
                <w:szCs w:val="21"/>
              </w:rPr>
              <w:t>About Morningstar Research</w:t>
            </w:r>
          </w:p>
        </w:tc>
        <w:tc>
          <w:tcPr>
            <w:tcW w:w="7238" w:type="dxa"/>
          </w:tcPr>
          <w:p w14:paraId="5AFE6088" w14:textId="384EE60A" w:rsidR="00CB29BC" w:rsidRPr="00BC3FB4" w:rsidRDefault="00CB29BC" w:rsidP="00D008AE">
            <w:pPr>
              <w:pStyle w:val="BodyText"/>
              <w:spacing w:before="165" w:line="259" w:lineRule="auto"/>
              <w:ind w:right="215"/>
              <w:jc w:val="both"/>
              <w:rPr>
                <w:sz w:val="21"/>
                <w:szCs w:val="21"/>
              </w:rPr>
            </w:pPr>
            <w:r w:rsidRPr="00BC3FB4">
              <w:rPr>
                <w:sz w:val="21"/>
                <w:szCs w:val="21"/>
              </w:rPr>
              <w:t>Morningstar Australasia</w:t>
            </w:r>
            <w:r w:rsidR="00C74C8B">
              <w:rPr>
                <w:sz w:val="21"/>
                <w:szCs w:val="21"/>
              </w:rPr>
              <w:t xml:space="preserve"> Pty Limited (ABN </w:t>
            </w:r>
            <w:r w:rsidR="00C74C8B">
              <w:rPr>
                <w:rFonts w:ascii="Arial" w:hAnsi="Arial" w:cs="Arial"/>
                <w:sz w:val="28"/>
                <w:szCs w:val="28"/>
                <w:shd w:val="clear" w:color="auto" w:fill="FFFFFF"/>
              </w:rPr>
              <w:t xml:space="preserve"> </w:t>
            </w:r>
            <w:r w:rsidR="00C74C8B" w:rsidRPr="00FD5211">
              <w:rPr>
                <w:sz w:val="21"/>
                <w:szCs w:val="21"/>
              </w:rPr>
              <w:t>95 090 665 544, AFSL: 240892</w:t>
            </w:r>
            <w:r w:rsidR="00C74C8B">
              <w:rPr>
                <w:sz w:val="21"/>
                <w:szCs w:val="21"/>
              </w:rPr>
              <w:t>)</w:t>
            </w:r>
            <w:r w:rsidRPr="00BC3FB4">
              <w:rPr>
                <w:sz w:val="21"/>
                <w:szCs w:val="21"/>
              </w:rPr>
              <w:t xml:space="preserve"> is a subsidiary of Morningstar, Inc. a leading provider of independent investment research in </w:t>
            </w:r>
            <w:r w:rsidRPr="00BC3FB4">
              <w:rPr>
                <w:spacing w:val="-47"/>
                <w:sz w:val="21"/>
                <w:szCs w:val="21"/>
              </w:rPr>
              <w:t xml:space="preserve"> </w:t>
            </w:r>
            <w:r w:rsidRPr="00BC3FB4">
              <w:rPr>
                <w:sz w:val="21"/>
                <w:szCs w:val="21"/>
              </w:rPr>
              <w:t>North</w:t>
            </w:r>
            <w:r w:rsidRPr="00BC3FB4">
              <w:rPr>
                <w:spacing w:val="1"/>
                <w:sz w:val="21"/>
                <w:szCs w:val="21"/>
              </w:rPr>
              <w:t xml:space="preserve"> </w:t>
            </w:r>
            <w:r w:rsidRPr="00BC3FB4">
              <w:rPr>
                <w:sz w:val="21"/>
                <w:szCs w:val="21"/>
              </w:rPr>
              <w:t>America, Europe,</w:t>
            </w:r>
            <w:r w:rsidRPr="00BC3FB4">
              <w:rPr>
                <w:spacing w:val="1"/>
                <w:sz w:val="21"/>
                <w:szCs w:val="21"/>
              </w:rPr>
              <w:t xml:space="preserve"> </w:t>
            </w:r>
            <w:r w:rsidRPr="00BC3FB4">
              <w:rPr>
                <w:sz w:val="21"/>
                <w:szCs w:val="21"/>
              </w:rPr>
              <w:t>Australia,</w:t>
            </w:r>
            <w:r w:rsidRPr="00BC3FB4">
              <w:rPr>
                <w:spacing w:val="1"/>
                <w:sz w:val="21"/>
                <w:szCs w:val="21"/>
              </w:rPr>
              <w:t xml:space="preserve"> </w:t>
            </w:r>
            <w:r w:rsidRPr="00BC3FB4">
              <w:rPr>
                <w:sz w:val="21"/>
                <w:szCs w:val="21"/>
              </w:rPr>
              <w:t>and</w:t>
            </w:r>
            <w:r w:rsidRPr="00BC3FB4">
              <w:rPr>
                <w:spacing w:val="1"/>
                <w:sz w:val="21"/>
                <w:szCs w:val="21"/>
              </w:rPr>
              <w:t xml:space="preserve"> </w:t>
            </w:r>
            <w:r w:rsidRPr="00BC3FB4">
              <w:rPr>
                <w:sz w:val="21"/>
                <w:szCs w:val="21"/>
              </w:rPr>
              <w:t>Asia,</w:t>
            </w:r>
            <w:r w:rsidRPr="00BC3FB4">
              <w:rPr>
                <w:spacing w:val="1"/>
                <w:sz w:val="21"/>
                <w:szCs w:val="21"/>
              </w:rPr>
              <w:t xml:space="preserve"> </w:t>
            </w:r>
            <w:r w:rsidRPr="00BC3FB4">
              <w:rPr>
                <w:sz w:val="21"/>
                <w:szCs w:val="21"/>
              </w:rPr>
              <w:t>w</w:t>
            </w:r>
            <w:r w:rsidR="00C74C8B">
              <w:rPr>
                <w:spacing w:val="1"/>
                <w:sz w:val="21"/>
                <w:szCs w:val="21"/>
              </w:rPr>
              <w:t xml:space="preserve">hich operates through wholly or majority owned subsidiaries in </w:t>
            </w:r>
            <w:r w:rsidRPr="00BC3FB4">
              <w:rPr>
                <w:sz w:val="21"/>
                <w:szCs w:val="21"/>
              </w:rPr>
              <w:t xml:space="preserve">in </w:t>
            </w:r>
            <w:r w:rsidR="00C74C8B">
              <w:rPr>
                <w:sz w:val="21"/>
                <w:szCs w:val="21"/>
              </w:rPr>
              <w:t>32</w:t>
            </w:r>
            <w:r w:rsidR="00C74C8B" w:rsidRPr="00BC3FB4">
              <w:rPr>
                <w:sz w:val="21"/>
                <w:szCs w:val="21"/>
              </w:rPr>
              <w:t xml:space="preserve"> </w:t>
            </w:r>
            <w:r w:rsidRPr="00BC3FB4">
              <w:rPr>
                <w:sz w:val="21"/>
                <w:szCs w:val="21"/>
              </w:rPr>
              <w:t>countries. Morningstar</w:t>
            </w:r>
            <w:r w:rsidRPr="00BC3FB4">
              <w:rPr>
                <w:spacing w:val="1"/>
                <w:sz w:val="21"/>
                <w:szCs w:val="21"/>
              </w:rPr>
              <w:t xml:space="preserve"> </w:t>
            </w:r>
            <w:r w:rsidRPr="00BC3FB4">
              <w:rPr>
                <w:sz w:val="21"/>
                <w:szCs w:val="21"/>
              </w:rPr>
              <w:t>Australasia offers an</w:t>
            </w:r>
            <w:r w:rsidRPr="00BC3FB4">
              <w:rPr>
                <w:spacing w:val="1"/>
                <w:sz w:val="21"/>
                <w:szCs w:val="21"/>
              </w:rPr>
              <w:t xml:space="preserve"> </w:t>
            </w:r>
            <w:r w:rsidRPr="00BC3FB4">
              <w:rPr>
                <w:sz w:val="21"/>
                <w:szCs w:val="21"/>
              </w:rPr>
              <w:t>extensive line of products and services for individual investors, financial advisers, asset managers and institutional</w:t>
            </w:r>
            <w:r w:rsidRPr="00BC3FB4">
              <w:rPr>
                <w:spacing w:val="1"/>
                <w:sz w:val="21"/>
                <w:szCs w:val="21"/>
              </w:rPr>
              <w:t xml:space="preserve"> </w:t>
            </w:r>
            <w:r w:rsidRPr="00BC3FB4">
              <w:rPr>
                <w:sz w:val="21"/>
                <w:szCs w:val="21"/>
              </w:rPr>
              <w:t>investors.</w:t>
            </w:r>
            <w:r w:rsidRPr="00BC3FB4">
              <w:rPr>
                <w:spacing w:val="-7"/>
                <w:sz w:val="21"/>
                <w:szCs w:val="21"/>
              </w:rPr>
              <w:t xml:space="preserve"> </w:t>
            </w:r>
            <w:r w:rsidRPr="00BC3FB4">
              <w:rPr>
                <w:sz w:val="21"/>
                <w:szCs w:val="21"/>
              </w:rPr>
              <w:t>Established</w:t>
            </w:r>
            <w:r w:rsidRPr="00BC3FB4">
              <w:rPr>
                <w:spacing w:val="-7"/>
                <w:sz w:val="21"/>
                <w:szCs w:val="21"/>
              </w:rPr>
              <w:t xml:space="preserve"> </w:t>
            </w:r>
            <w:r w:rsidRPr="00BC3FB4">
              <w:rPr>
                <w:sz w:val="21"/>
                <w:szCs w:val="21"/>
              </w:rPr>
              <w:t>in</w:t>
            </w:r>
            <w:r w:rsidRPr="00BC3FB4">
              <w:rPr>
                <w:spacing w:val="-9"/>
                <w:sz w:val="21"/>
                <w:szCs w:val="21"/>
              </w:rPr>
              <w:t xml:space="preserve"> </w:t>
            </w:r>
            <w:r w:rsidRPr="00BC3FB4">
              <w:rPr>
                <w:sz w:val="21"/>
                <w:szCs w:val="21"/>
              </w:rPr>
              <w:t>1999,</w:t>
            </w:r>
            <w:r w:rsidRPr="00BC3FB4">
              <w:rPr>
                <w:spacing w:val="-9"/>
                <w:sz w:val="21"/>
                <w:szCs w:val="21"/>
              </w:rPr>
              <w:t xml:space="preserve"> </w:t>
            </w:r>
            <w:r w:rsidRPr="00BC3FB4">
              <w:rPr>
                <w:sz w:val="21"/>
                <w:szCs w:val="21"/>
              </w:rPr>
              <w:t>Morningstar</w:t>
            </w:r>
            <w:r w:rsidRPr="00BC3FB4">
              <w:rPr>
                <w:spacing w:val="-7"/>
                <w:sz w:val="21"/>
                <w:szCs w:val="21"/>
              </w:rPr>
              <w:t xml:space="preserve"> </w:t>
            </w:r>
            <w:r w:rsidRPr="00BC3FB4">
              <w:rPr>
                <w:sz w:val="21"/>
                <w:szCs w:val="21"/>
              </w:rPr>
              <w:t>Australasia</w:t>
            </w:r>
            <w:r w:rsidRPr="00BC3FB4">
              <w:rPr>
                <w:spacing w:val="-6"/>
                <w:sz w:val="21"/>
                <w:szCs w:val="21"/>
              </w:rPr>
              <w:t xml:space="preserve"> </w:t>
            </w:r>
            <w:r w:rsidRPr="00BC3FB4">
              <w:rPr>
                <w:sz w:val="21"/>
                <w:szCs w:val="21"/>
              </w:rPr>
              <w:t>provides</w:t>
            </w:r>
            <w:r w:rsidRPr="00BC3FB4">
              <w:rPr>
                <w:spacing w:val="-7"/>
                <w:sz w:val="21"/>
                <w:szCs w:val="21"/>
              </w:rPr>
              <w:t xml:space="preserve"> </w:t>
            </w:r>
            <w:r w:rsidRPr="00BC3FB4">
              <w:rPr>
                <w:sz w:val="21"/>
                <w:szCs w:val="21"/>
              </w:rPr>
              <w:t>Stock,</w:t>
            </w:r>
            <w:r w:rsidRPr="00BC3FB4">
              <w:rPr>
                <w:spacing w:val="-6"/>
                <w:sz w:val="21"/>
                <w:szCs w:val="21"/>
              </w:rPr>
              <w:t xml:space="preserve"> </w:t>
            </w:r>
            <w:r w:rsidRPr="00BC3FB4">
              <w:rPr>
                <w:sz w:val="21"/>
                <w:szCs w:val="21"/>
              </w:rPr>
              <w:t>Fund,</w:t>
            </w:r>
            <w:r w:rsidRPr="00BC3FB4">
              <w:rPr>
                <w:spacing w:val="-6"/>
                <w:sz w:val="21"/>
                <w:szCs w:val="21"/>
              </w:rPr>
              <w:t xml:space="preserve"> </w:t>
            </w:r>
            <w:r w:rsidRPr="00BC3FB4">
              <w:rPr>
                <w:sz w:val="21"/>
                <w:szCs w:val="21"/>
              </w:rPr>
              <w:t>ETF,</w:t>
            </w:r>
            <w:r w:rsidRPr="00BC3FB4">
              <w:rPr>
                <w:spacing w:val="-6"/>
                <w:sz w:val="21"/>
                <w:szCs w:val="21"/>
              </w:rPr>
              <w:t xml:space="preserve"> </w:t>
            </w:r>
            <w:r w:rsidRPr="00BC3FB4">
              <w:rPr>
                <w:sz w:val="21"/>
                <w:szCs w:val="21"/>
              </w:rPr>
              <w:t>LIC,</w:t>
            </w:r>
            <w:r w:rsidRPr="00BC3FB4">
              <w:rPr>
                <w:spacing w:val="-7"/>
                <w:sz w:val="21"/>
                <w:szCs w:val="21"/>
              </w:rPr>
              <w:t xml:space="preserve"> </w:t>
            </w:r>
            <w:r w:rsidRPr="00BC3FB4">
              <w:rPr>
                <w:sz w:val="21"/>
                <w:szCs w:val="21"/>
              </w:rPr>
              <w:t>and</w:t>
            </w:r>
            <w:r w:rsidRPr="00BC3FB4">
              <w:rPr>
                <w:spacing w:val="-6"/>
                <w:sz w:val="21"/>
                <w:szCs w:val="21"/>
              </w:rPr>
              <w:t xml:space="preserve"> </w:t>
            </w:r>
            <w:r w:rsidRPr="00BC3FB4">
              <w:rPr>
                <w:sz w:val="21"/>
                <w:szCs w:val="21"/>
              </w:rPr>
              <w:t>Credit</w:t>
            </w:r>
            <w:r w:rsidRPr="00BC3FB4">
              <w:rPr>
                <w:spacing w:val="-6"/>
                <w:sz w:val="21"/>
                <w:szCs w:val="21"/>
              </w:rPr>
              <w:t xml:space="preserve"> </w:t>
            </w:r>
            <w:r w:rsidRPr="00BC3FB4">
              <w:rPr>
                <w:sz w:val="21"/>
                <w:szCs w:val="21"/>
              </w:rPr>
              <w:t>data</w:t>
            </w:r>
            <w:r w:rsidRPr="00BC3FB4">
              <w:rPr>
                <w:spacing w:val="-7"/>
                <w:sz w:val="21"/>
                <w:szCs w:val="21"/>
              </w:rPr>
              <w:t xml:space="preserve"> </w:t>
            </w:r>
            <w:r w:rsidRPr="00BC3FB4">
              <w:rPr>
                <w:sz w:val="21"/>
                <w:szCs w:val="21"/>
              </w:rPr>
              <w:t>&amp;</w:t>
            </w:r>
            <w:r w:rsidRPr="00BC3FB4">
              <w:rPr>
                <w:spacing w:val="-6"/>
                <w:sz w:val="21"/>
                <w:szCs w:val="21"/>
              </w:rPr>
              <w:t xml:space="preserve"> </w:t>
            </w:r>
            <w:r w:rsidRPr="00BC3FB4">
              <w:rPr>
                <w:sz w:val="21"/>
                <w:szCs w:val="21"/>
              </w:rPr>
              <w:t>research,</w:t>
            </w:r>
            <w:r w:rsidRPr="00BC3FB4">
              <w:rPr>
                <w:spacing w:val="-6"/>
                <w:sz w:val="21"/>
                <w:szCs w:val="21"/>
              </w:rPr>
              <w:t xml:space="preserve"> </w:t>
            </w:r>
            <w:r w:rsidRPr="00BC3FB4">
              <w:rPr>
                <w:sz w:val="21"/>
                <w:szCs w:val="21"/>
              </w:rPr>
              <w:t>and</w:t>
            </w:r>
            <w:r w:rsidRPr="00BC3FB4">
              <w:rPr>
                <w:spacing w:val="1"/>
                <w:sz w:val="21"/>
                <w:szCs w:val="21"/>
              </w:rPr>
              <w:t xml:space="preserve"> </w:t>
            </w:r>
            <w:r w:rsidRPr="00BC3FB4">
              <w:rPr>
                <w:sz w:val="21"/>
                <w:szCs w:val="21"/>
              </w:rPr>
              <w:t>software</w:t>
            </w:r>
            <w:r w:rsidRPr="00BC3FB4">
              <w:rPr>
                <w:spacing w:val="-3"/>
                <w:sz w:val="21"/>
                <w:szCs w:val="21"/>
              </w:rPr>
              <w:t xml:space="preserve"> </w:t>
            </w:r>
            <w:r w:rsidRPr="00BC3FB4">
              <w:rPr>
                <w:sz w:val="21"/>
                <w:szCs w:val="21"/>
              </w:rPr>
              <w:t>solutions to</w:t>
            </w:r>
            <w:r w:rsidRPr="00BC3FB4">
              <w:rPr>
                <w:spacing w:val="1"/>
                <w:sz w:val="21"/>
                <w:szCs w:val="21"/>
              </w:rPr>
              <w:t xml:space="preserve"> </w:t>
            </w:r>
            <w:r w:rsidRPr="00BC3FB4">
              <w:rPr>
                <w:sz w:val="21"/>
                <w:szCs w:val="21"/>
              </w:rPr>
              <w:t>financial</w:t>
            </w:r>
            <w:r w:rsidRPr="00BC3FB4">
              <w:rPr>
                <w:spacing w:val="-1"/>
                <w:sz w:val="21"/>
                <w:szCs w:val="21"/>
              </w:rPr>
              <w:t xml:space="preserve"> </w:t>
            </w:r>
            <w:r w:rsidRPr="00BC3FB4">
              <w:rPr>
                <w:sz w:val="21"/>
                <w:szCs w:val="21"/>
              </w:rPr>
              <w:t>services</w:t>
            </w:r>
            <w:r w:rsidRPr="00BC3FB4">
              <w:rPr>
                <w:spacing w:val="-2"/>
                <w:sz w:val="21"/>
                <w:szCs w:val="21"/>
              </w:rPr>
              <w:t xml:space="preserve"> </w:t>
            </w:r>
            <w:r w:rsidRPr="00BC3FB4">
              <w:rPr>
                <w:sz w:val="21"/>
                <w:szCs w:val="21"/>
              </w:rPr>
              <w:t>professionals</w:t>
            </w:r>
            <w:r w:rsidRPr="00BC3FB4">
              <w:rPr>
                <w:spacing w:val="-1"/>
                <w:sz w:val="21"/>
                <w:szCs w:val="21"/>
              </w:rPr>
              <w:t xml:space="preserve"> </w:t>
            </w:r>
            <w:r w:rsidRPr="00BC3FB4">
              <w:rPr>
                <w:sz w:val="21"/>
                <w:szCs w:val="21"/>
              </w:rPr>
              <w:t>and</w:t>
            </w:r>
            <w:r w:rsidRPr="00BC3FB4">
              <w:rPr>
                <w:spacing w:val="-1"/>
                <w:sz w:val="21"/>
                <w:szCs w:val="21"/>
              </w:rPr>
              <w:t xml:space="preserve"> </w:t>
            </w:r>
            <w:r w:rsidRPr="00BC3FB4">
              <w:rPr>
                <w:sz w:val="21"/>
                <w:szCs w:val="21"/>
              </w:rPr>
              <w:t>individual investors.</w:t>
            </w:r>
          </w:p>
          <w:p w14:paraId="6BCA189F" w14:textId="15D1AC19" w:rsidR="00CB29BC" w:rsidRPr="00BC3FB4" w:rsidRDefault="00CB29BC" w:rsidP="00D008AE">
            <w:pPr>
              <w:spacing w:before="120" w:after="120" w:line="276" w:lineRule="auto"/>
              <w:rPr>
                <w:rFonts w:cs="Arial"/>
                <w:sz w:val="21"/>
                <w:szCs w:val="21"/>
              </w:rPr>
            </w:pPr>
          </w:p>
        </w:tc>
      </w:tr>
      <w:tr w:rsidR="00CB29BC" w:rsidRPr="00BC3FB4" w14:paraId="1C82EA8E" w14:textId="77777777" w:rsidTr="6455408F">
        <w:tc>
          <w:tcPr>
            <w:tcW w:w="1788" w:type="dxa"/>
          </w:tcPr>
          <w:p w14:paraId="4E561A7D" w14:textId="0F477E4E" w:rsidR="00CB29BC" w:rsidRPr="00BC3FB4" w:rsidRDefault="00CB29BC" w:rsidP="2CB99A8B">
            <w:pPr>
              <w:spacing w:before="120" w:after="120" w:line="276" w:lineRule="auto"/>
              <w:rPr>
                <w:rFonts w:cs="Arial"/>
                <w:i/>
                <w:sz w:val="21"/>
                <w:szCs w:val="21"/>
              </w:rPr>
            </w:pPr>
            <w:r w:rsidRPr="6455408F">
              <w:rPr>
                <w:rFonts w:cs="Arial"/>
                <w:i/>
                <w:iCs/>
                <w:sz w:val="21"/>
                <w:szCs w:val="21"/>
              </w:rPr>
              <w:t>About Morningstar Investment Management</w:t>
            </w:r>
          </w:p>
        </w:tc>
        <w:tc>
          <w:tcPr>
            <w:tcW w:w="7238" w:type="dxa"/>
          </w:tcPr>
          <w:p w14:paraId="44C52AF0" w14:textId="77777777" w:rsidR="00CB29BC" w:rsidRPr="00BC3FB4" w:rsidRDefault="00CB29BC" w:rsidP="00CB29BC">
            <w:pPr>
              <w:spacing w:before="120" w:after="120" w:line="276" w:lineRule="auto"/>
              <w:rPr>
                <w:rFonts w:cs="Arial"/>
                <w:sz w:val="21"/>
                <w:szCs w:val="21"/>
              </w:rPr>
            </w:pPr>
            <w:r w:rsidRPr="00BC3FB4">
              <w:rPr>
                <w:rFonts w:cs="Arial"/>
                <w:sz w:val="21"/>
                <w:szCs w:val="21"/>
              </w:rPr>
              <w:t>Morningstar Investment Management Australia Limited (ABN 54 071 808 501, AFSL 228986) (‘Morningstar’) is the investment manager for the recommended investments.</w:t>
            </w:r>
          </w:p>
          <w:p w14:paraId="5B0D004B" w14:textId="77777777" w:rsidR="00CB29BC" w:rsidRPr="00BC3FB4" w:rsidRDefault="00CB29BC" w:rsidP="00CB29BC">
            <w:pPr>
              <w:spacing w:before="120" w:after="120" w:line="276" w:lineRule="auto"/>
              <w:rPr>
                <w:rFonts w:cs="Arial"/>
                <w:sz w:val="21"/>
                <w:szCs w:val="21"/>
              </w:rPr>
            </w:pPr>
            <w:r w:rsidRPr="00BC3FB4">
              <w:rPr>
                <w:rFonts w:cs="Arial"/>
                <w:sz w:val="21"/>
                <w:szCs w:val="21"/>
              </w:rPr>
              <w:t xml:space="preserve">Morningstar is a leading provider of investment management, asset allocation, portfolio construction and investment research services with over 35 years’ experience in the United States, </w:t>
            </w:r>
            <w:proofErr w:type="gramStart"/>
            <w:r w:rsidRPr="00BC3FB4">
              <w:rPr>
                <w:rFonts w:cs="Arial"/>
                <w:sz w:val="21"/>
                <w:szCs w:val="21"/>
              </w:rPr>
              <w:t>Australia</w:t>
            </w:r>
            <w:proofErr w:type="gramEnd"/>
            <w:r w:rsidRPr="00BC3FB4">
              <w:rPr>
                <w:rFonts w:cs="Arial"/>
                <w:sz w:val="21"/>
                <w:szCs w:val="21"/>
              </w:rPr>
              <w:t xml:space="preserve"> and other international markets. They advise and manage funds for superannuation funds, institutions, platform distributors, financial </w:t>
            </w:r>
            <w:proofErr w:type="gramStart"/>
            <w:r w:rsidRPr="00BC3FB4">
              <w:rPr>
                <w:rFonts w:cs="Arial"/>
                <w:sz w:val="21"/>
                <w:szCs w:val="21"/>
              </w:rPr>
              <w:t>advisers</w:t>
            </w:r>
            <w:proofErr w:type="gramEnd"/>
            <w:r w:rsidRPr="00BC3FB4">
              <w:rPr>
                <w:rFonts w:cs="Arial"/>
                <w:sz w:val="21"/>
                <w:szCs w:val="21"/>
              </w:rPr>
              <w:t xml:space="preserve"> and investors.</w:t>
            </w:r>
          </w:p>
          <w:p w14:paraId="1CD1258C" w14:textId="45DBECA4" w:rsidR="00CB29BC" w:rsidRDefault="00CB29BC" w:rsidP="00CB29BC">
            <w:pPr>
              <w:spacing w:before="120" w:after="120" w:line="276" w:lineRule="auto"/>
              <w:rPr>
                <w:rFonts w:cs="Arial"/>
                <w:sz w:val="21"/>
                <w:szCs w:val="21"/>
              </w:rPr>
            </w:pPr>
            <w:r w:rsidRPr="00BC3FB4">
              <w:rPr>
                <w:rFonts w:cs="Arial"/>
                <w:sz w:val="21"/>
                <w:szCs w:val="21"/>
              </w:rPr>
              <w:t xml:space="preserve">Morningstar Investment Management Australia Limited is part of Morningstar, Inc., a stock exchange listed company (NASDAQ: MORN) and a leading provider of independent investment research in North America, Europe, Australia, and Asia. They offer an extensive line of products and services and have 12,000+ employees across more than </w:t>
            </w:r>
            <w:r w:rsidR="00C74C8B">
              <w:rPr>
                <w:rFonts w:cs="Arial"/>
                <w:sz w:val="21"/>
                <w:szCs w:val="21"/>
              </w:rPr>
              <w:t>32</w:t>
            </w:r>
            <w:r w:rsidR="00C74C8B" w:rsidRPr="00BC3FB4">
              <w:rPr>
                <w:rFonts w:cs="Arial"/>
                <w:sz w:val="21"/>
                <w:szCs w:val="21"/>
              </w:rPr>
              <w:t xml:space="preserve"> </w:t>
            </w:r>
            <w:proofErr w:type="gramStart"/>
            <w:r w:rsidRPr="00BC3FB4">
              <w:rPr>
                <w:rFonts w:cs="Arial"/>
                <w:sz w:val="21"/>
                <w:szCs w:val="21"/>
              </w:rPr>
              <w:t>countries;</w:t>
            </w:r>
            <w:proofErr w:type="gramEnd"/>
            <w:r w:rsidRPr="00BC3FB4">
              <w:rPr>
                <w:rFonts w:cs="Arial"/>
                <w:sz w:val="21"/>
                <w:szCs w:val="21"/>
              </w:rPr>
              <w:t xml:space="preserve"> managing and advising on billions of dollars globally.</w:t>
            </w:r>
          </w:p>
          <w:p w14:paraId="5842FA23" w14:textId="1E9A3FB5" w:rsidR="00CB29BC" w:rsidRPr="00BC3FB4" w:rsidRDefault="00CB29BC" w:rsidP="00CB29BC">
            <w:pPr>
              <w:pStyle w:val="BodyText"/>
              <w:spacing w:before="165"/>
              <w:ind w:right="215"/>
              <w:jc w:val="both"/>
              <w:rPr>
                <w:sz w:val="21"/>
                <w:szCs w:val="21"/>
              </w:rPr>
            </w:pPr>
            <w:r w:rsidRPr="6455408F">
              <w:rPr>
                <w:rFonts w:cs="Arial"/>
                <w:sz w:val="21"/>
                <w:szCs w:val="21"/>
              </w:rPr>
              <w:t>I have joined with Morningstar to deliver portfolios that are in line with your investment objectives and risk tolerance assessment outcomes.</w:t>
            </w:r>
          </w:p>
        </w:tc>
      </w:tr>
      <w:bookmarkEnd w:id="4"/>
    </w:tbl>
    <w:p w14:paraId="4FE17596" w14:textId="6094A1B9" w:rsidR="00CB29BC" w:rsidRDefault="00CB29BC"/>
    <w:p w14:paraId="410D20E8" w14:textId="77777777" w:rsidR="00CB29BC" w:rsidRDefault="00CB29BC">
      <w:r>
        <w:br w:type="page"/>
      </w:r>
    </w:p>
    <w:p w14:paraId="16A7ACD7" w14:textId="79805807" w:rsidR="00CB29BC" w:rsidRPr="0083460D" w:rsidRDefault="00B829F8" w:rsidP="00CB29BC">
      <w:pPr>
        <w:pStyle w:val="Heading2"/>
      </w:pPr>
      <w:r>
        <w:lastRenderedPageBreak/>
        <w:t>How your Money is Managed</w:t>
      </w:r>
    </w:p>
    <w:p w14:paraId="399E73DF" w14:textId="1BE67545" w:rsidR="00CB29BC" w:rsidRPr="0083460D" w:rsidRDefault="00CB29BC" w:rsidP="00CB29BC">
      <w:pPr>
        <w:spacing w:before="120" w:after="120" w:line="276" w:lineRule="auto"/>
        <w:rPr>
          <w:rFonts w:cs="Arial"/>
          <w:sz w:val="21"/>
          <w:szCs w:val="21"/>
        </w:rPr>
      </w:pPr>
      <w:r w:rsidRPr="0083460D">
        <w:rPr>
          <w:rFonts w:cs="Arial"/>
          <w:sz w:val="21"/>
          <w:szCs w:val="21"/>
        </w:rPr>
        <w:t xml:space="preserve">Morningstar </w:t>
      </w:r>
      <w:proofErr w:type="spellStart"/>
      <w:r w:rsidR="00B829F8">
        <w:rPr>
          <w:rFonts w:cs="Arial"/>
          <w:sz w:val="21"/>
          <w:szCs w:val="21"/>
        </w:rPr>
        <w:t>Medalist</w:t>
      </w:r>
      <w:proofErr w:type="spellEnd"/>
      <w:r w:rsidR="00B829F8">
        <w:rPr>
          <w:rFonts w:cs="Arial"/>
          <w:sz w:val="21"/>
          <w:szCs w:val="21"/>
        </w:rPr>
        <w:t xml:space="preserve"> Core portfolios are managed according to the below principles</w:t>
      </w:r>
      <w:r w:rsidRPr="0083460D">
        <w:rPr>
          <w:rFonts w:cs="Arial"/>
          <w:sz w:val="21"/>
          <w:szCs w:val="21"/>
        </w:rPr>
        <w:t>. These investment principles are intended to guide their behaviour and support rational decision making as part of their investment process.</w:t>
      </w:r>
    </w:p>
    <w:p w14:paraId="0ECFFB98" w14:textId="732D9B33" w:rsidR="00CB29BC" w:rsidRPr="0083460D" w:rsidRDefault="00CB29BC" w:rsidP="00CB29BC">
      <w:pPr>
        <w:spacing w:before="120" w:after="120" w:line="276" w:lineRule="auto"/>
        <w:rPr>
          <w:rFonts w:cs="Arial"/>
          <w:sz w:val="21"/>
          <w:szCs w:val="21"/>
        </w:rPr>
      </w:pPr>
      <w:r>
        <w:rPr>
          <w:rFonts w:cs="Arial"/>
          <w:sz w:val="21"/>
          <w:szCs w:val="21"/>
        </w:rPr>
        <w:t>These principles are: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34"/>
        <w:gridCol w:w="7492"/>
      </w:tblGrid>
      <w:tr w:rsidR="00CB29BC" w:rsidRPr="0083460D" w14:paraId="66284F20" w14:textId="77777777" w:rsidTr="72091836">
        <w:tc>
          <w:tcPr>
            <w:tcW w:w="1534" w:type="dxa"/>
            <w:vAlign w:val="center"/>
          </w:tcPr>
          <w:p w14:paraId="5BF3B7EE" w14:textId="77777777" w:rsidR="00CB29BC" w:rsidRPr="0083460D" w:rsidRDefault="00CB29BC" w:rsidP="00D008AE">
            <w:pPr>
              <w:spacing w:before="120" w:after="120" w:line="264" w:lineRule="auto"/>
              <w:rPr>
                <w:rFonts w:cs="Arial"/>
                <w:sz w:val="21"/>
                <w:szCs w:val="21"/>
              </w:rPr>
            </w:pPr>
            <w:bookmarkStart w:id="5" w:name="_Hlk39212845"/>
            <w:r w:rsidRPr="0083460D">
              <w:rPr>
                <w:rFonts w:cs="Arial"/>
                <w:noProof/>
                <w:color w:val="2B579A"/>
                <w:sz w:val="21"/>
                <w:szCs w:val="21"/>
                <w:shd w:val="clear" w:color="auto" w:fill="E6E6E6"/>
                <w:lang w:eastAsia="en-AU"/>
              </w:rPr>
              <w:drawing>
                <wp:inline distT="0" distB="0" distL="0" distR="0" wp14:anchorId="3FB53B03" wp14:editId="26A5C659">
                  <wp:extent cx="720000" cy="784390"/>
                  <wp:effectExtent l="0" t="0" r="444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0000" cy="784390"/>
                          </a:xfrm>
                          <a:prstGeom prst="rect">
                            <a:avLst/>
                          </a:prstGeom>
                        </pic:spPr>
                      </pic:pic>
                    </a:graphicData>
                  </a:graphic>
                </wp:inline>
              </w:drawing>
            </w:r>
          </w:p>
        </w:tc>
        <w:tc>
          <w:tcPr>
            <w:tcW w:w="7492" w:type="dxa"/>
            <w:vAlign w:val="center"/>
          </w:tcPr>
          <w:p w14:paraId="2FE40AC4" w14:textId="77777777" w:rsidR="00CB29BC" w:rsidRPr="0083460D" w:rsidRDefault="00CB29BC" w:rsidP="00D008AE">
            <w:pPr>
              <w:spacing w:before="120" w:after="120" w:line="264" w:lineRule="auto"/>
              <w:rPr>
                <w:rFonts w:cs="Arial"/>
                <w:sz w:val="21"/>
                <w:szCs w:val="21"/>
              </w:rPr>
            </w:pPr>
            <w:r w:rsidRPr="0083460D">
              <w:rPr>
                <w:rFonts w:cs="Arial"/>
                <w:b/>
                <w:sz w:val="21"/>
                <w:szCs w:val="21"/>
              </w:rPr>
              <w:t>We put investors first.</w:t>
            </w:r>
            <w:r w:rsidRPr="0083460D">
              <w:rPr>
                <w:rFonts w:cs="Arial"/>
                <w:sz w:val="21"/>
                <w:szCs w:val="21"/>
              </w:rPr>
              <w:t xml:space="preserve"> We believe firms that put investors first win in the long term because their investors win.</w:t>
            </w:r>
          </w:p>
          <w:p w14:paraId="5A7DCADB" w14:textId="77777777" w:rsidR="00CB29BC" w:rsidRDefault="00CB29BC" w:rsidP="00D008AE">
            <w:pPr>
              <w:spacing w:before="120" w:after="120" w:line="264" w:lineRule="auto"/>
              <w:rPr>
                <w:rFonts w:cs="Arial"/>
                <w:sz w:val="21"/>
                <w:szCs w:val="21"/>
              </w:rPr>
            </w:pPr>
            <w:r w:rsidRPr="002F2941">
              <w:rPr>
                <w:rFonts w:cs="Arial"/>
                <w:i/>
                <w:iCs/>
                <w:sz w:val="21"/>
                <w:szCs w:val="21"/>
              </w:rPr>
              <w:t>Why it’s important</w:t>
            </w:r>
            <w:r>
              <w:rPr>
                <w:rFonts w:cs="Arial"/>
                <w:sz w:val="21"/>
                <w:szCs w:val="21"/>
              </w:rPr>
              <w:t>: Firms that allow conflicts of interest to hijack their actions do not have investors’ best interests in mind. Their actions could have detrimental effects on clients’ portfolios.</w:t>
            </w:r>
          </w:p>
          <w:p w14:paraId="26DC229B" w14:textId="77777777" w:rsidR="00CB29BC" w:rsidRPr="0083460D" w:rsidRDefault="00CB29BC" w:rsidP="00D008AE">
            <w:pPr>
              <w:spacing w:before="120" w:after="120" w:line="264" w:lineRule="auto"/>
              <w:rPr>
                <w:rFonts w:cs="Arial"/>
                <w:sz w:val="21"/>
                <w:szCs w:val="21"/>
              </w:rPr>
            </w:pPr>
            <w:r w:rsidRPr="002F2941">
              <w:rPr>
                <w:rFonts w:cs="Arial"/>
                <w:i/>
                <w:iCs/>
                <w:sz w:val="21"/>
                <w:szCs w:val="21"/>
              </w:rPr>
              <w:t>What we do</w:t>
            </w:r>
            <w:r>
              <w:rPr>
                <w:rFonts w:cs="Arial"/>
                <w:sz w:val="21"/>
                <w:szCs w:val="21"/>
              </w:rPr>
              <w:t>: We know that generating long-term benefit for clients will ultimately lead to long-term benefit for Morningstar as well. We also align our portfolio managers’ incentives with the long-term performance (after fees) that investors experience.</w:t>
            </w:r>
          </w:p>
        </w:tc>
      </w:tr>
      <w:tr w:rsidR="00CB29BC" w:rsidRPr="0083460D" w14:paraId="102762AA" w14:textId="77777777" w:rsidTr="72091836">
        <w:tc>
          <w:tcPr>
            <w:tcW w:w="1534" w:type="dxa"/>
            <w:vAlign w:val="center"/>
          </w:tcPr>
          <w:p w14:paraId="33706F05" w14:textId="77777777" w:rsidR="00CB29BC" w:rsidRPr="0083460D" w:rsidRDefault="00CB29BC" w:rsidP="00D008AE">
            <w:pPr>
              <w:spacing w:before="120" w:after="120" w:line="264" w:lineRule="auto"/>
              <w:rPr>
                <w:rFonts w:cs="Arial"/>
                <w:sz w:val="21"/>
                <w:szCs w:val="21"/>
              </w:rPr>
            </w:pPr>
            <w:r w:rsidRPr="0083460D">
              <w:rPr>
                <w:rFonts w:cs="Arial"/>
                <w:noProof/>
                <w:color w:val="2B579A"/>
                <w:sz w:val="21"/>
                <w:szCs w:val="21"/>
                <w:shd w:val="clear" w:color="auto" w:fill="E6E6E6"/>
                <w:lang w:eastAsia="en-AU"/>
              </w:rPr>
              <w:drawing>
                <wp:inline distT="0" distB="0" distL="0" distR="0" wp14:anchorId="40B6F928" wp14:editId="46814F8B">
                  <wp:extent cx="553279" cy="9000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279" cy="900000"/>
                          </a:xfrm>
                          <a:prstGeom prst="rect">
                            <a:avLst/>
                          </a:prstGeom>
                        </pic:spPr>
                      </pic:pic>
                    </a:graphicData>
                  </a:graphic>
                </wp:inline>
              </w:drawing>
            </w:r>
          </w:p>
        </w:tc>
        <w:tc>
          <w:tcPr>
            <w:tcW w:w="7492" w:type="dxa"/>
            <w:vAlign w:val="center"/>
          </w:tcPr>
          <w:p w14:paraId="7B5FD7F9" w14:textId="77777777" w:rsidR="00CB29BC" w:rsidRPr="0083460D" w:rsidRDefault="00CB29BC" w:rsidP="00D008AE">
            <w:pPr>
              <w:spacing w:before="120" w:after="120" w:line="264" w:lineRule="auto"/>
              <w:rPr>
                <w:rFonts w:cs="Arial"/>
                <w:sz w:val="21"/>
                <w:szCs w:val="21"/>
              </w:rPr>
            </w:pPr>
            <w:r w:rsidRPr="0083460D">
              <w:rPr>
                <w:rFonts w:cs="Arial"/>
                <w:b/>
                <w:sz w:val="21"/>
                <w:szCs w:val="21"/>
              </w:rPr>
              <w:t>We’re independent-minded.</w:t>
            </w:r>
            <w:r w:rsidRPr="0083460D">
              <w:rPr>
                <w:rFonts w:cs="Arial"/>
                <w:sz w:val="21"/>
                <w:szCs w:val="21"/>
              </w:rPr>
              <w:t xml:space="preserve"> To deliver results, we think it’s necessary to invest with conviction, even when it means standing apart from the crowd.</w:t>
            </w:r>
          </w:p>
          <w:p w14:paraId="26ED5E66" w14:textId="77777777" w:rsidR="00CB29BC" w:rsidRDefault="00CB29BC" w:rsidP="00D008AE">
            <w:pPr>
              <w:spacing w:before="120" w:after="120" w:line="264" w:lineRule="auto"/>
              <w:rPr>
                <w:rFonts w:cs="Arial"/>
                <w:sz w:val="21"/>
                <w:szCs w:val="21"/>
              </w:rPr>
            </w:pPr>
            <w:r w:rsidRPr="002F2941">
              <w:rPr>
                <w:rFonts w:cs="Arial"/>
                <w:i/>
                <w:iCs/>
                <w:sz w:val="21"/>
                <w:szCs w:val="21"/>
              </w:rPr>
              <w:t>Why it’s important</w:t>
            </w:r>
            <w:r>
              <w:rPr>
                <w:rFonts w:cs="Arial"/>
                <w:sz w:val="21"/>
                <w:szCs w:val="21"/>
              </w:rPr>
              <w:t>: Herding is commonplace in investing, often leading to volatile booms and busts. Meeting your investment goals may often mean acting independently from the crowd.</w:t>
            </w:r>
          </w:p>
          <w:p w14:paraId="7B4B3B1B" w14:textId="77777777" w:rsidR="00CB29BC" w:rsidRPr="0083460D" w:rsidRDefault="00CB29BC" w:rsidP="00D008AE">
            <w:pPr>
              <w:spacing w:before="120" w:after="120" w:line="264" w:lineRule="auto"/>
              <w:rPr>
                <w:rFonts w:cs="Arial"/>
                <w:sz w:val="21"/>
                <w:szCs w:val="21"/>
              </w:rPr>
            </w:pPr>
            <w:r w:rsidRPr="002F2941">
              <w:rPr>
                <w:rFonts w:cs="Arial"/>
                <w:i/>
                <w:iCs/>
                <w:sz w:val="21"/>
                <w:szCs w:val="21"/>
              </w:rPr>
              <w:t>What we do</w:t>
            </w:r>
            <w:r>
              <w:rPr>
                <w:rFonts w:cs="Arial"/>
                <w:sz w:val="21"/>
                <w:szCs w:val="21"/>
              </w:rPr>
              <w:t>: We’re mindful of our emotions and test our assumptions to help determine whether they are simply consensus views or instead driven by objective estimation of intrinsic value. Taking outcomes for granted or falling prey to dangerous biases can derail even the best-intentioned investment team.</w:t>
            </w:r>
          </w:p>
        </w:tc>
      </w:tr>
      <w:tr w:rsidR="00CB29BC" w:rsidRPr="0083460D" w14:paraId="52B7D46D" w14:textId="77777777" w:rsidTr="72091836">
        <w:tc>
          <w:tcPr>
            <w:tcW w:w="1534" w:type="dxa"/>
            <w:vAlign w:val="center"/>
          </w:tcPr>
          <w:p w14:paraId="5200BDF1" w14:textId="77777777" w:rsidR="00CB29BC" w:rsidRPr="0083460D" w:rsidRDefault="00CB29BC" w:rsidP="00D008AE">
            <w:pPr>
              <w:spacing w:before="120" w:after="120" w:line="264" w:lineRule="auto"/>
              <w:rPr>
                <w:rFonts w:cs="Arial"/>
                <w:sz w:val="21"/>
                <w:szCs w:val="21"/>
              </w:rPr>
            </w:pPr>
            <w:r w:rsidRPr="0083460D">
              <w:rPr>
                <w:rFonts w:cs="Arial"/>
                <w:noProof/>
                <w:color w:val="2B579A"/>
                <w:sz w:val="21"/>
                <w:szCs w:val="21"/>
                <w:shd w:val="clear" w:color="auto" w:fill="E6E6E6"/>
                <w:lang w:eastAsia="en-AU"/>
              </w:rPr>
              <w:drawing>
                <wp:inline distT="0" distB="0" distL="0" distR="0" wp14:anchorId="69D5636E" wp14:editId="3A546E4B">
                  <wp:extent cx="720000" cy="540000"/>
                  <wp:effectExtent l="0" t="0" r="4445" b="0"/>
                  <wp:docPr id="6" name="Picture 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0000" cy="540000"/>
                          </a:xfrm>
                          <a:prstGeom prst="rect">
                            <a:avLst/>
                          </a:prstGeom>
                        </pic:spPr>
                      </pic:pic>
                    </a:graphicData>
                  </a:graphic>
                </wp:inline>
              </w:drawing>
            </w:r>
          </w:p>
        </w:tc>
        <w:tc>
          <w:tcPr>
            <w:tcW w:w="7492" w:type="dxa"/>
            <w:vAlign w:val="center"/>
          </w:tcPr>
          <w:p w14:paraId="0183AA82" w14:textId="77777777" w:rsidR="00CB29BC" w:rsidRPr="0083460D" w:rsidRDefault="00CB29BC" w:rsidP="00D008AE">
            <w:pPr>
              <w:spacing w:before="120" w:after="120" w:line="264" w:lineRule="auto"/>
              <w:rPr>
                <w:rFonts w:cs="Arial"/>
                <w:sz w:val="21"/>
                <w:szCs w:val="21"/>
              </w:rPr>
            </w:pPr>
            <w:r w:rsidRPr="0083460D">
              <w:rPr>
                <w:rFonts w:cs="Arial"/>
                <w:b/>
                <w:sz w:val="21"/>
                <w:szCs w:val="21"/>
              </w:rPr>
              <w:t>We invest for the long term.</w:t>
            </w:r>
            <w:r w:rsidRPr="0083460D">
              <w:rPr>
                <w:rFonts w:cs="Arial"/>
                <w:sz w:val="21"/>
                <w:szCs w:val="21"/>
              </w:rPr>
              <w:t xml:space="preserve"> </w:t>
            </w:r>
            <w:r>
              <w:rPr>
                <w:rFonts w:cs="Arial"/>
                <w:sz w:val="21"/>
                <w:szCs w:val="21"/>
              </w:rPr>
              <w:t>A</w:t>
            </w:r>
            <w:r w:rsidRPr="0083460D">
              <w:rPr>
                <w:rFonts w:cs="Arial"/>
                <w:sz w:val="21"/>
                <w:szCs w:val="21"/>
              </w:rPr>
              <w:t xml:space="preserve"> patient, long-term view helps </w:t>
            </w:r>
            <w:r>
              <w:rPr>
                <w:rFonts w:cs="Arial"/>
                <w:sz w:val="21"/>
                <w:szCs w:val="21"/>
              </w:rPr>
              <w:t>us stay the course during</w:t>
            </w:r>
            <w:r w:rsidRPr="0083460D">
              <w:rPr>
                <w:rFonts w:cs="Arial"/>
                <w:sz w:val="21"/>
                <w:szCs w:val="21"/>
              </w:rPr>
              <w:t xml:space="preserve"> the market’s ups and downs and take advantage of opportunities when they arise.</w:t>
            </w:r>
          </w:p>
          <w:p w14:paraId="3330FC8B" w14:textId="77777777" w:rsidR="00CB29BC" w:rsidRDefault="00CB29BC" w:rsidP="00D008AE">
            <w:pPr>
              <w:spacing w:before="120" w:after="120" w:line="264" w:lineRule="auto"/>
              <w:rPr>
                <w:rFonts w:cs="Arial"/>
                <w:sz w:val="21"/>
                <w:szCs w:val="21"/>
              </w:rPr>
            </w:pPr>
            <w:r w:rsidRPr="002F2941">
              <w:rPr>
                <w:rFonts w:cs="Arial"/>
                <w:i/>
                <w:iCs/>
                <w:sz w:val="21"/>
                <w:szCs w:val="21"/>
              </w:rPr>
              <w:t>Why it’s important</w:t>
            </w:r>
            <w:r>
              <w:rPr>
                <w:rFonts w:cs="Arial"/>
                <w:sz w:val="21"/>
                <w:szCs w:val="21"/>
              </w:rPr>
              <w:t>: Investors often overemphasise the importance of recent events, rushing into hot stocks near the peak and fleeing from market downturns just as the outlook for returns improves.</w:t>
            </w:r>
          </w:p>
          <w:p w14:paraId="795526A1" w14:textId="77777777" w:rsidR="00CB29BC" w:rsidRPr="0083460D" w:rsidRDefault="00CB29BC" w:rsidP="00D008AE">
            <w:pPr>
              <w:spacing w:before="120" w:after="120" w:line="264" w:lineRule="auto"/>
              <w:rPr>
                <w:rFonts w:cs="Arial"/>
                <w:sz w:val="21"/>
                <w:szCs w:val="21"/>
              </w:rPr>
            </w:pPr>
            <w:r w:rsidRPr="002F2941">
              <w:rPr>
                <w:rFonts w:cs="Arial"/>
                <w:i/>
                <w:iCs/>
                <w:sz w:val="21"/>
                <w:szCs w:val="21"/>
              </w:rPr>
              <w:t>What we do</w:t>
            </w:r>
            <w:r>
              <w:rPr>
                <w:rFonts w:cs="Arial"/>
                <w:sz w:val="21"/>
                <w:szCs w:val="21"/>
              </w:rPr>
              <w:t>: We avoid arbitrary trading activity and measure holding periods in years rather than months. This keeps costs down and focuses our minds on valuation rather than market noise.</w:t>
            </w:r>
          </w:p>
        </w:tc>
      </w:tr>
      <w:tr w:rsidR="00CB29BC" w:rsidRPr="0083460D" w14:paraId="78B766FE" w14:textId="77777777" w:rsidTr="72091836">
        <w:tc>
          <w:tcPr>
            <w:tcW w:w="1534" w:type="dxa"/>
            <w:vAlign w:val="center"/>
          </w:tcPr>
          <w:p w14:paraId="715D4B69" w14:textId="77777777" w:rsidR="00CB29BC" w:rsidRPr="0083460D" w:rsidRDefault="00CB29BC" w:rsidP="00D008AE">
            <w:pPr>
              <w:spacing w:before="120" w:after="120" w:line="264" w:lineRule="auto"/>
              <w:rPr>
                <w:rFonts w:cs="Arial"/>
                <w:sz w:val="21"/>
                <w:szCs w:val="21"/>
              </w:rPr>
            </w:pPr>
            <w:r w:rsidRPr="0083460D">
              <w:rPr>
                <w:rFonts w:cs="Arial"/>
                <w:noProof/>
                <w:color w:val="2B579A"/>
                <w:sz w:val="21"/>
                <w:szCs w:val="21"/>
                <w:shd w:val="clear" w:color="auto" w:fill="E6E6E6"/>
                <w:lang w:eastAsia="en-AU"/>
              </w:rPr>
              <w:drawing>
                <wp:inline distT="0" distB="0" distL="0" distR="0" wp14:anchorId="54180C56" wp14:editId="399E17F5">
                  <wp:extent cx="720000" cy="750000"/>
                  <wp:effectExtent l="0" t="0" r="4445" b="0"/>
                  <wp:docPr id="7" name="Picture 7"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0" cy="750000"/>
                          </a:xfrm>
                          <a:prstGeom prst="rect">
                            <a:avLst/>
                          </a:prstGeom>
                        </pic:spPr>
                      </pic:pic>
                    </a:graphicData>
                  </a:graphic>
                </wp:inline>
              </w:drawing>
            </w:r>
          </w:p>
        </w:tc>
        <w:tc>
          <w:tcPr>
            <w:tcW w:w="7492" w:type="dxa"/>
            <w:vAlign w:val="center"/>
          </w:tcPr>
          <w:p w14:paraId="63CB4128" w14:textId="00E8F9ED" w:rsidR="00B829F8" w:rsidRDefault="00CB29BC" w:rsidP="00D008AE">
            <w:pPr>
              <w:spacing w:before="120" w:after="120" w:line="264" w:lineRule="auto"/>
              <w:rPr>
                <w:rFonts w:cs="Arial"/>
                <w:sz w:val="21"/>
                <w:szCs w:val="21"/>
              </w:rPr>
            </w:pPr>
            <w:r w:rsidRPr="72091836">
              <w:rPr>
                <w:rFonts w:cs="Arial"/>
                <w:b/>
                <w:bCs/>
                <w:sz w:val="21"/>
                <w:szCs w:val="21"/>
              </w:rPr>
              <w:t>We</w:t>
            </w:r>
            <w:r w:rsidR="00B829F8">
              <w:rPr>
                <w:rFonts w:cs="Arial"/>
                <w:b/>
                <w:bCs/>
                <w:sz w:val="21"/>
                <w:szCs w:val="21"/>
              </w:rPr>
              <w:t xml:space="preserve"> are valuation driven investors</w:t>
            </w:r>
            <w:r w:rsidRPr="72091836">
              <w:rPr>
                <w:rFonts w:cs="Arial"/>
                <w:b/>
                <w:bCs/>
                <w:sz w:val="21"/>
                <w:szCs w:val="21"/>
              </w:rPr>
              <w:t>.</w:t>
            </w:r>
            <w:r w:rsidRPr="72091836">
              <w:rPr>
                <w:rFonts w:cs="Arial"/>
                <w:sz w:val="21"/>
                <w:szCs w:val="21"/>
              </w:rPr>
              <w:t xml:space="preserve"> </w:t>
            </w:r>
            <w:r w:rsidR="00B829F8">
              <w:rPr>
                <w:rFonts w:cs="Arial"/>
                <w:sz w:val="21"/>
                <w:szCs w:val="21"/>
              </w:rPr>
              <w:t>Whilst we are anchored to a Strategic Asset Allocation, we are valuation driven investors. We use asset allocation tilts within our portfolios that aim to deliver appropriate return for risk to our investors.</w:t>
            </w:r>
          </w:p>
          <w:p w14:paraId="0F8FFCFA" w14:textId="13BA1C18" w:rsidR="00CB29BC" w:rsidRDefault="00CB29BC" w:rsidP="00D008AE">
            <w:pPr>
              <w:spacing w:before="120" w:after="120" w:line="264" w:lineRule="auto"/>
              <w:rPr>
                <w:rFonts w:cs="Arial"/>
                <w:sz w:val="21"/>
                <w:szCs w:val="21"/>
              </w:rPr>
            </w:pPr>
            <w:r w:rsidRPr="002F2941">
              <w:rPr>
                <w:rFonts w:cs="Arial"/>
                <w:i/>
                <w:iCs/>
                <w:sz w:val="21"/>
                <w:szCs w:val="21"/>
              </w:rPr>
              <w:t>Why it’s important</w:t>
            </w:r>
            <w:r>
              <w:rPr>
                <w:rFonts w:cs="Arial"/>
                <w:sz w:val="21"/>
                <w:szCs w:val="21"/>
              </w:rPr>
              <w:t>: We know that diversification is important as it spreads your money across multiple asset classes to reduce the risk of underperformance if a single asset class performs poorly.</w:t>
            </w:r>
          </w:p>
          <w:p w14:paraId="21E8BD6B" w14:textId="5B85BEF1" w:rsidR="00CB29BC" w:rsidRPr="0083460D" w:rsidRDefault="00CB29BC" w:rsidP="00D008AE">
            <w:pPr>
              <w:spacing w:before="120" w:after="120" w:line="264" w:lineRule="auto"/>
              <w:rPr>
                <w:rFonts w:cs="Arial"/>
                <w:sz w:val="21"/>
                <w:szCs w:val="21"/>
              </w:rPr>
            </w:pPr>
            <w:r w:rsidRPr="72091836">
              <w:rPr>
                <w:rFonts w:cs="Arial"/>
                <w:i/>
                <w:iCs/>
                <w:sz w:val="21"/>
                <w:szCs w:val="21"/>
              </w:rPr>
              <w:lastRenderedPageBreak/>
              <w:t>What we do</w:t>
            </w:r>
            <w:r w:rsidRPr="72091836">
              <w:rPr>
                <w:rFonts w:cs="Arial"/>
                <w:sz w:val="21"/>
                <w:szCs w:val="21"/>
              </w:rPr>
              <w:t>: We leverage our strong internal asset allocation capability to ensure that you are invested appropriately. Our investments align closely to this asset allocation to ensure your investment is appropriately diversified across asset classes.</w:t>
            </w:r>
          </w:p>
        </w:tc>
      </w:tr>
      <w:tr w:rsidR="00CB29BC" w:rsidRPr="0083460D" w14:paraId="01D9E46B" w14:textId="77777777" w:rsidTr="72091836">
        <w:tc>
          <w:tcPr>
            <w:tcW w:w="1534" w:type="dxa"/>
            <w:vAlign w:val="center"/>
          </w:tcPr>
          <w:p w14:paraId="2EF71629" w14:textId="77777777" w:rsidR="00CB29BC" w:rsidRPr="0083460D" w:rsidRDefault="00CB29BC" w:rsidP="00D008AE">
            <w:pPr>
              <w:spacing w:before="120" w:after="120" w:line="264" w:lineRule="auto"/>
              <w:rPr>
                <w:rFonts w:cs="Arial"/>
                <w:sz w:val="21"/>
                <w:szCs w:val="21"/>
              </w:rPr>
            </w:pPr>
            <w:r w:rsidRPr="0083460D">
              <w:rPr>
                <w:rFonts w:cs="Arial"/>
                <w:noProof/>
                <w:color w:val="2B579A"/>
                <w:sz w:val="21"/>
                <w:szCs w:val="21"/>
                <w:shd w:val="clear" w:color="auto" w:fill="E6E6E6"/>
                <w:lang w:eastAsia="en-AU"/>
              </w:rPr>
              <w:lastRenderedPageBreak/>
              <w:drawing>
                <wp:inline distT="0" distB="0" distL="0" distR="0" wp14:anchorId="0109EE3F" wp14:editId="75058B00">
                  <wp:extent cx="720000" cy="698346"/>
                  <wp:effectExtent l="0" t="0" r="4445" b="698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0000" cy="698346"/>
                          </a:xfrm>
                          <a:prstGeom prst="rect">
                            <a:avLst/>
                          </a:prstGeom>
                        </pic:spPr>
                      </pic:pic>
                    </a:graphicData>
                  </a:graphic>
                </wp:inline>
              </w:drawing>
            </w:r>
          </w:p>
        </w:tc>
        <w:tc>
          <w:tcPr>
            <w:tcW w:w="7492" w:type="dxa"/>
            <w:vAlign w:val="center"/>
          </w:tcPr>
          <w:p w14:paraId="5819EE59" w14:textId="77777777" w:rsidR="00CB29BC" w:rsidRPr="0083460D" w:rsidRDefault="00CB29BC" w:rsidP="00D008AE">
            <w:pPr>
              <w:spacing w:before="120" w:after="120" w:line="264" w:lineRule="auto"/>
              <w:rPr>
                <w:rFonts w:cs="Arial"/>
                <w:sz w:val="21"/>
                <w:szCs w:val="21"/>
              </w:rPr>
            </w:pPr>
            <w:r w:rsidRPr="0083460D">
              <w:rPr>
                <w:rFonts w:cs="Arial"/>
                <w:b/>
                <w:sz w:val="21"/>
                <w:szCs w:val="21"/>
              </w:rPr>
              <w:t>We take a fundamental approach.</w:t>
            </w:r>
            <w:r w:rsidRPr="0083460D">
              <w:rPr>
                <w:rFonts w:cs="Arial"/>
                <w:sz w:val="21"/>
                <w:szCs w:val="21"/>
              </w:rPr>
              <w:t xml:space="preserve"> Powerful research is behind each decision we </w:t>
            </w:r>
            <w:r>
              <w:rPr>
                <w:rFonts w:cs="Arial"/>
                <w:sz w:val="21"/>
                <w:szCs w:val="21"/>
              </w:rPr>
              <w:t>take</w:t>
            </w:r>
            <w:r w:rsidRPr="0083460D">
              <w:rPr>
                <w:rFonts w:cs="Arial"/>
                <w:sz w:val="21"/>
                <w:szCs w:val="21"/>
              </w:rPr>
              <w:t xml:space="preserve">, and we </w:t>
            </w:r>
            <w:r>
              <w:rPr>
                <w:rFonts w:cs="Arial"/>
                <w:sz w:val="21"/>
                <w:szCs w:val="21"/>
              </w:rPr>
              <w:t xml:space="preserve">invest significant time and resources to truly </w:t>
            </w:r>
            <w:r w:rsidRPr="0083460D">
              <w:rPr>
                <w:rFonts w:cs="Arial"/>
                <w:sz w:val="21"/>
                <w:szCs w:val="21"/>
              </w:rPr>
              <w:t xml:space="preserve">understand what </w:t>
            </w:r>
            <w:r>
              <w:rPr>
                <w:rFonts w:cs="Arial"/>
                <w:sz w:val="21"/>
                <w:szCs w:val="21"/>
              </w:rPr>
              <w:t>we own and why we own it</w:t>
            </w:r>
            <w:r w:rsidRPr="0083460D">
              <w:rPr>
                <w:rFonts w:cs="Arial"/>
                <w:sz w:val="21"/>
                <w:szCs w:val="21"/>
              </w:rPr>
              <w:t>.</w:t>
            </w:r>
          </w:p>
          <w:p w14:paraId="75D9A2CC" w14:textId="77777777" w:rsidR="00CB29BC" w:rsidRDefault="00CB29BC" w:rsidP="00D008AE">
            <w:pPr>
              <w:spacing w:before="120" w:after="120" w:line="264" w:lineRule="auto"/>
              <w:rPr>
                <w:rFonts w:cs="Arial"/>
                <w:sz w:val="21"/>
                <w:szCs w:val="21"/>
              </w:rPr>
            </w:pPr>
            <w:r w:rsidRPr="003B6021">
              <w:rPr>
                <w:rFonts w:cs="Arial"/>
                <w:i/>
                <w:iCs/>
                <w:sz w:val="21"/>
                <w:szCs w:val="21"/>
              </w:rPr>
              <w:t>Why it’s important</w:t>
            </w:r>
            <w:r>
              <w:rPr>
                <w:rFonts w:cs="Arial"/>
                <w:sz w:val="21"/>
                <w:szCs w:val="21"/>
              </w:rPr>
              <w:t>: Researchers find that investors base decisions on dangerous shortcuts; from the spelling of fund managers’ names, to whether friends have mentioned the company before. Investors use these tenuous characteristics to judge whether an investment is worthy and then often selectively seek out data that confirms those potentially biased conclusions.</w:t>
            </w:r>
          </w:p>
          <w:p w14:paraId="39475D7A" w14:textId="77777777" w:rsidR="00CB29BC" w:rsidRPr="0083460D" w:rsidRDefault="00CB29BC" w:rsidP="00D008AE">
            <w:pPr>
              <w:spacing w:before="120" w:after="120" w:line="264" w:lineRule="auto"/>
              <w:rPr>
                <w:rFonts w:cs="Arial"/>
                <w:sz w:val="21"/>
                <w:szCs w:val="21"/>
              </w:rPr>
            </w:pPr>
            <w:r w:rsidRPr="003B6021">
              <w:rPr>
                <w:rFonts w:cs="Arial"/>
                <w:i/>
                <w:iCs/>
                <w:sz w:val="21"/>
                <w:szCs w:val="21"/>
              </w:rPr>
              <w:t>What we do</w:t>
            </w:r>
            <w:r>
              <w:rPr>
                <w:rFonts w:cs="Arial"/>
                <w:sz w:val="21"/>
                <w:szCs w:val="21"/>
              </w:rPr>
              <w:t>: We structure our analysis around the fundamental characteristics of each company, including its cash flow, balance sheet, and potential for a sustainable competitive advantage. Our research, screening, and portfolio construction processes keep our focus on facts that really matter.</w:t>
            </w:r>
          </w:p>
        </w:tc>
      </w:tr>
      <w:tr w:rsidR="00CB29BC" w:rsidRPr="0083460D" w14:paraId="26283CD1" w14:textId="77777777" w:rsidTr="72091836">
        <w:tc>
          <w:tcPr>
            <w:tcW w:w="1534" w:type="dxa"/>
            <w:vAlign w:val="center"/>
          </w:tcPr>
          <w:p w14:paraId="1F1CA135" w14:textId="77777777" w:rsidR="00CB29BC" w:rsidRPr="0083460D" w:rsidRDefault="00CB29BC" w:rsidP="00D008AE">
            <w:pPr>
              <w:spacing w:before="120" w:after="120" w:line="264" w:lineRule="auto"/>
              <w:rPr>
                <w:rFonts w:cs="Arial"/>
                <w:sz w:val="21"/>
                <w:szCs w:val="21"/>
              </w:rPr>
            </w:pPr>
            <w:r w:rsidRPr="0083460D">
              <w:rPr>
                <w:rFonts w:cs="Arial"/>
                <w:noProof/>
                <w:color w:val="2B579A"/>
                <w:sz w:val="21"/>
                <w:szCs w:val="21"/>
                <w:shd w:val="clear" w:color="auto" w:fill="E6E6E6"/>
                <w:lang w:eastAsia="en-AU"/>
              </w:rPr>
              <w:drawing>
                <wp:inline distT="0" distB="0" distL="0" distR="0" wp14:anchorId="70B26DF8" wp14:editId="0831A8ED">
                  <wp:extent cx="509790" cy="900000"/>
                  <wp:effectExtent l="0" t="0" r="508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790" cy="900000"/>
                          </a:xfrm>
                          <a:prstGeom prst="rect">
                            <a:avLst/>
                          </a:prstGeom>
                        </pic:spPr>
                      </pic:pic>
                    </a:graphicData>
                  </a:graphic>
                </wp:inline>
              </w:drawing>
            </w:r>
          </w:p>
        </w:tc>
        <w:tc>
          <w:tcPr>
            <w:tcW w:w="7492" w:type="dxa"/>
            <w:vAlign w:val="center"/>
          </w:tcPr>
          <w:p w14:paraId="28613AE9" w14:textId="77777777" w:rsidR="00CB29BC" w:rsidRPr="0083460D" w:rsidRDefault="00CB29BC" w:rsidP="00D008AE">
            <w:pPr>
              <w:spacing w:before="120" w:after="120" w:line="264" w:lineRule="auto"/>
              <w:rPr>
                <w:rFonts w:cs="Arial"/>
                <w:sz w:val="21"/>
                <w:szCs w:val="21"/>
              </w:rPr>
            </w:pPr>
            <w:r w:rsidRPr="0083460D">
              <w:rPr>
                <w:rFonts w:cs="Arial"/>
                <w:b/>
                <w:sz w:val="21"/>
                <w:szCs w:val="21"/>
              </w:rPr>
              <w:t>We strive to minimise costs.</w:t>
            </w:r>
            <w:r w:rsidRPr="0083460D">
              <w:rPr>
                <w:rFonts w:cs="Arial"/>
                <w:sz w:val="21"/>
                <w:szCs w:val="21"/>
              </w:rPr>
              <w:t xml:space="preserve"> Controlling costs helps investors build wealth by </w:t>
            </w:r>
            <w:r>
              <w:rPr>
                <w:rFonts w:cs="Arial"/>
                <w:sz w:val="21"/>
                <w:szCs w:val="21"/>
              </w:rPr>
              <w:t xml:space="preserve">letting them </w:t>
            </w:r>
            <w:r w:rsidRPr="0083460D">
              <w:rPr>
                <w:rFonts w:cs="Arial"/>
                <w:sz w:val="21"/>
                <w:szCs w:val="21"/>
              </w:rPr>
              <w:t>keep more of what they earn.</w:t>
            </w:r>
          </w:p>
          <w:p w14:paraId="351DC028" w14:textId="77777777" w:rsidR="00CB29BC" w:rsidRDefault="00CB29BC" w:rsidP="00D008AE">
            <w:pPr>
              <w:spacing w:before="120" w:after="120" w:line="264" w:lineRule="auto"/>
              <w:rPr>
                <w:rFonts w:cs="Arial"/>
                <w:sz w:val="21"/>
                <w:szCs w:val="21"/>
              </w:rPr>
            </w:pPr>
            <w:r w:rsidRPr="003B6021">
              <w:rPr>
                <w:rFonts w:cs="Arial"/>
                <w:i/>
                <w:iCs/>
                <w:sz w:val="21"/>
                <w:szCs w:val="21"/>
              </w:rPr>
              <w:t>Why it’s important</w:t>
            </w:r>
            <w:r>
              <w:rPr>
                <w:rFonts w:cs="Arial"/>
                <w:sz w:val="21"/>
                <w:szCs w:val="21"/>
              </w:rPr>
              <w:t>: Investors face a barrage of information, and human minds ten to focus on just one or two narrow characteristics, sometimes ignoring fees. While returns are volatile and uncertain, fees aren’t.</w:t>
            </w:r>
          </w:p>
          <w:p w14:paraId="51618B42" w14:textId="77777777" w:rsidR="00CB29BC" w:rsidRPr="0083460D" w:rsidRDefault="00CB29BC" w:rsidP="00D008AE">
            <w:pPr>
              <w:spacing w:before="120" w:after="120" w:line="264" w:lineRule="auto"/>
              <w:rPr>
                <w:rFonts w:cs="Arial"/>
                <w:sz w:val="21"/>
                <w:szCs w:val="21"/>
              </w:rPr>
            </w:pPr>
            <w:r w:rsidRPr="003B6021">
              <w:rPr>
                <w:rFonts w:cs="Arial"/>
                <w:i/>
                <w:iCs/>
                <w:sz w:val="21"/>
                <w:szCs w:val="21"/>
              </w:rPr>
              <w:t>What we do</w:t>
            </w:r>
            <w:r>
              <w:rPr>
                <w:rFonts w:cs="Arial"/>
                <w:sz w:val="21"/>
                <w:szCs w:val="21"/>
              </w:rPr>
              <w:t xml:space="preserve">: Total fees to the investor are a key consideration in our portfolio construction process – be it management fees, </w:t>
            </w:r>
            <w:proofErr w:type="gramStart"/>
            <w:r>
              <w:rPr>
                <w:rFonts w:cs="Arial"/>
                <w:sz w:val="21"/>
                <w:szCs w:val="21"/>
              </w:rPr>
              <w:t>taxes</w:t>
            </w:r>
            <w:proofErr w:type="gramEnd"/>
            <w:r>
              <w:rPr>
                <w:rFonts w:cs="Arial"/>
                <w:sz w:val="21"/>
                <w:szCs w:val="21"/>
              </w:rPr>
              <w:t xml:space="preserve"> or transaction costs. Whilst not always the lowest cost provider, we aim to be the best value for money asset manager and are committed to charging clients fair and reasonable fees for our services while delivering on our investment principles.</w:t>
            </w:r>
          </w:p>
        </w:tc>
      </w:tr>
    </w:tbl>
    <w:bookmarkEnd w:id="5"/>
    <w:p w14:paraId="2D55629F" w14:textId="393AA5F5" w:rsidR="00CB29BC" w:rsidRDefault="00CB29BC" w:rsidP="00CB29BC">
      <w:pPr>
        <w:rPr>
          <w:rFonts w:cs="Arial"/>
          <w:bCs/>
          <w:sz w:val="21"/>
          <w:szCs w:val="21"/>
        </w:rPr>
      </w:pPr>
      <w:r w:rsidRPr="00D60942">
        <w:rPr>
          <w:rFonts w:cs="Arial"/>
          <w:bCs/>
          <w:sz w:val="21"/>
          <w:szCs w:val="21"/>
        </w:rPr>
        <w:t>The evidence that supports our phi</w:t>
      </w:r>
      <w:r>
        <w:rPr>
          <w:rFonts w:cs="Arial"/>
          <w:bCs/>
          <w:sz w:val="21"/>
          <w:szCs w:val="21"/>
        </w:rPr>
        <w:t xml:space="preserve">losophy is based on a combination of well documented academic research, </w:t>
      </w:r>
      <w:proofErr w:type="gramStart"/>
      <w:r>
        <w:rPr>
          <w:rFonts w:cs="Arial"/>
          <w:bCs/>
          <w:sz w:val="21"/>
          <w:szCs w:val="21"/>
        </w:rPr>
        <w:t>as well as,</w:t>
      </w:r>
      <w:proofErr w:type="gramEnd"/>
      <w:r>
        <w:rPr>
          <w:rFonts w:cs="Arial"/>
          <w:bCs/>
          <w:sz w:val="21"/>
          <w:szCs w:val="21"/>
        </w:rPr>
        <w:t xml:space="preserve"> internal capital markets, equity, and manager research. We have hundreds of internal investment professionals with experience providing investment research and </w:t>
      </w:r>
      <w:proofErr w:type="gramStart"/>
      <w:r>
        <w:rPr>
          <w:rFonts w:cs="Arial"/>
          <w:bCs/>
          <w:sz w:val="21"/>
          <w:szCs w:val="21"/>
        </w:rPr>
        <w:t>advice, and</w:t>
      </w:r>
      <w:proofErr w:type="gramEnd"/>
      <w:r>
        <w:rPr>
          <w:rFonts w:cs="Arial"/>
          <w:bCs/>
          <w:sz w:val="21"/>
          <w:szCs w:val="21"/>
        </w:rPr>
        <w:t xml:space="preserve"> managing client investments over many years. This resourcing allows us to develop a sustainable culture based on our investment principles, and portfolios based primarily on our internal capabilities.</w:t>
      </w:r>
    </w:p>
    <w:p w14:paraId="1FF0E5B4" w14:textId="77777777" w:rsidR="00CB29BC" w:rsidRDefault="00CB29BC">
      <w:pPr>
        <w:rPr>
          <w:rFonts w:cs="Arial"/>
          <w:bCs/>
          <w:sz w:val="21"/>
          <w:szCs w:val="21"/>
        </w:rPr>
      </w:pPr>
      <w:r>
        <w:rPr>
          <w:rFonts w:cs="Arial"/>
          <w:bCs/>
          <w:sz w:val="21"/>
          <w:szCs w:val="21"/>
        </w:rPr>
        <w:br w:type="page"/>
      </w:r>
    </w:p>
    <w:p w14:paraId="3FF2D9FD" w14:textId="77777777" w:rsidR="00CB29BC" w:rsidRPr="00E33C78" w:rsidRDefault="00CB29BC" w:rsidP="00CB29BC">
      <w:pPr>
        <w:pStyle w:val="Heading2"/>
        <w:rPr>
          <w:rFonts w:eastAsiaTheme="minorHAnsi" w:cs="Arial"/>
          <w:color w:val="auto"/>
          <w:sz w:val="21"/>
          <w:szCs w:val="21"/>
        </w:rPr>
      </w:pPr>
      <w:bookmarkStart w:id="6" w:name="_Toc94277605"/>
      <w:bookmarkStart w:id="7" w:name="_Toc118898674"/>
      <w:bookmarkStart w:id="8" w:name="_Toc130885775"/>
      <w:r>
        <w:lastRenderedPageBreak/>
        <w:t xml:space="preserve">Holdings fall outside of approved product </w:t>
      </w:r>
      <w:proofErr w:type="gramStart"/>
      <w:r>
        <w:t>list</w:t>
      </w:r>
      <w:bookmarkEnd w:id="6"/>
      <w:bookmarkEnd w:id="7"/>
      <w:bookmarkEnd w:id="8"/>
      <w:proofErr w:type="gramEnd"/>
    </w:p>
    <w:p w14:paraId="62A19B12" w14:textId="77777777" w:rsidR="00CB29BC" w:rsidRDefault="00CB29BC" w:rsidP="00CB29BC">
      <w:pPr>
        <w:spacing w:before="120"/>
        <w:rPr>
          <w:rFonts w:cs="Arial"/>
          <w:sz w:val="21"/>
          <w:szCs w:val="21"/>
        </w:rPr>
      </w:pPr>
      <w:r w:rsidRPr="72091836">
        <w:rPr>
          <w:rFonts w:cs="Arial"/>
          <w:sz w:val="21"/>
          <w:szCs w:val="21"/>
        </w:rPr>
        <w:t>Your Morningstar Managed Account Portfolio is actively managed by Morningstar, with all underlying assets bought and sold based on their instruction.</w:t>
      </w:r>
    </w:p>
    <w:p w14:paraId="6CC6EB69" w14:textId="77777777" w:rsidR="00CB29BC" w:rsidRDefault="00CB29BC" w:rsidP="00CB29BC">
      <w:pPr>
        <w:spacing w:before="120"/>
        <w:rPr>
          <w:rFonts w:cs="Arial"/>
          <w:sz w:val="21"/>
          <w:szCs w:val="21"/>
        </w:rPr>
      </w:pPr>
      <w:r w:rsidRPr="00E33C78">
        <w:rPr>
          <w:rFonts w:cs="Arial"/>
          <w:sz w:val="21"/>
          <w:szCs w:val="21"/>
        </w:rPr>
        <w:t xml:space="preserve">Due to the dynamic nature of Morningstar’s investment approach, the portfolio may </w:t>
      </w:r>
      <w:r>
        <w:rPr>
          <w:rFonts w:cs="Arial"/>
          <w:sz w:val="21"/>
          <w:szCs w:val="21"/>
        </w:rPr>
        <w:t xml:space="preserve">at times, </w:t>
      </w:r>
      <w:r w:rsidRPr="00E33C78">
        <w:rPr>
          <w:rFonts w:cs="Arial"/>
          <w:sz w:val="21"/>
          <w:szCs w:val="21"/>
        </w:rPr>
        <w:t xml:space="preserve">hold assets that are not currently covered by the </w:t>
      </w:r>
      <w:r>
        <w:rPr>
          <w:rFonts w:cs="Arial"/>
          <w:sz w:val="21"/>
          <w:szCs w:val="21"/>
          <w:highlight w:val="green"/>
        </w:rPr>
        <w:t>[</w:t>
      </w:r>
      <w:r w:rsidRPr="00E33C78">
        <w:rPr>
          <w:rFonts w:cs="Arial"/>
          <w:sz w:val="21"/>
          <w:szCs w:val="21"/>
          <w:highlight w:val="green"/>
        </w:rPr>
        <w:t>Licensee</w:t>
      </w:r>
      <w:r>
        <w:rPr>
          <w:rFonts w:cs="Arial"/>
          <w:sz w:val="21"/>
          <w:szCs w:val="21"/>
          <w:highlight w:val="green"/>
        </w:rPr>
        <w:t>]</w:t>
      </w:r>
      <w:r w:rsidRPr="00E33C78">
        <w:rPr>
          <w:rFonts w:cs="Arial"/>
          <w:sz w:val="21"/>
          <w:szCs w:val="21"/>
        </w:rPr>
        <w:t xml:space="preserve"> Approved Product List (APL). These individual holdings should not be viewed in isolation and instead, should be viewed in aggregate for their contribution as part of a multi asset portfolio. </w:t>
      </w:r>
    </w:p>
    <w:p w14:paraId="26420E3C" w14:textId="77777777" w:rsidR="00CB29BC" w:rsidRDefault="00CB29BC" w:rsidP="00CB29BC">
      <w:pPr>
        <w:rPr>
          <w:rFonts w:cs="Arial"/>
          <w:sz w:val="21"/>
          <w:szCs w:val="21"/>
        </w:rPr>
      </w:pPr>
      <w:r w:rsidRPr="00E33C78">
        <w:rPr>
          <w:rFonts w:cs="Arial"/>
          <w:sz w:val="21"/>
          <w:szCs w:val="21"/>
          <w:highlight w:val="green"/>
        </w:rPr>
        <w:t>[Licensee]</w:t>
      </w:r>
      <w:r>
        <w:rPr>
          <w:rFonts w:cs="Arial"/>
          <w:sz w:val="21"/>
          <w:szCs w:val="21"/>
        </w:rPr>
        <w:t xml:space="preserve"> </w:t>
      </w:r>
      <w:r w:rsidRPr="00E33C78">
        <w:rPr>
          <w:rFonts w:cs="Arial"/>
          <w:sz w:val="21"/>
          <w:szCs w:val="21"/>
        </w:rPr>
        <w:t xml:space="preserve">has given authority to licenced </w:t>
      </w:r>
      <w:r w:rsidRPr="00E33C78">
        <w:rPr>
          <w:rFonts w:cs="Arial"/>
          <w:sz w:val="21"/>
          <w:szCs w:val="21"/>
          <w:highlight w:val="green"/>
        </w:rPr>
        <w:t>[Licensee]</w:t>
      </w:r>
      <w:r w:rsidRPr="00E33C78">
        <w:rPr>
          <w:rFonts w:cs="Arial"/>
          <w:sz w:val="21"/>
          <w:szCs w:val="21"/>
        </w:rPr>
        <w:t xml:space="preserve"> Advisers to invest in the Morningstar Managed Account Portfolios and accept that changes will be made within the portfolios (as valuations change and opportunities present) on the instruction of Morningstar</w:t>
      </w:r>
      <w:r>
        <w:rPr>
          <w:rFonts w:cs="Arial"/>
          <w:sz w:val="21"/>
          <w:szCs w:val="21"/>
        </w:rPr>
        <w:t>.</w:t>
      </w:r>
    </w:p>
    <w:p w14:paraId="16DABD16" w14:textId="625B02D7" w:rsidR="00CB29BC" w:rsidRDefault="00CB29BC">
      <w:r>
        <w:br w:type="page"/>
      </w:r>
    </w:p>
    <w:p w14:paraId="5C806317" w14:textId="4AD7AA1D" w:rsidR="00CB29BC" w:rsidRDefault="00CB29BC" w:rsidP="00CB29BC">
      <w:pPr>
        <w:pStyle w:val="Heading1"/>
      </w:pPr>
      <w:bookmarkStart w:id="9" w:name="_Toc130885776"/>
      <w:r>
        <w:lastRenderedPageBreak/>
        <w:t xml:space="preserve">Morningstar </w:t>
      </w:r>
      <w:proofErr w:type="spellStart"/>
      <w:r w:rsidR="00BC3FB4">
        <w:t>Medalist</w:t>
      </w:r>
      <w:proofErr w:type="spellEnd"/>
      <w:r w:rsidR="00BC3FB4">
        <w:t xml:space="preserve"> Core</w:t>
      </w:r>
      <w:r>
        <w:t xml:space="preserve"> Portfolios</w:t>
      </w:r>
      <w:bookmarkEnd w:id="9"/>
    </w:p>
    <w:p w14:paraId="07380E6F" w14:textId="19098C0C" w:rsidR="00A0504E" w:rsidRPr="00A0504E" w:rsidRDefault="00A0504E" w:rsidP="00A0504E">
      <w:pPr>
        <w:pStyle w:val="Heading2"/>
      </w:pPr>
      <w:bookmarkStart w:id="10" w:name="_Toc130885777"/>
      <w:r>
        <w:t>Investment Approach</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322"/>
      </w:tblGrid>
      <w:tr w:rsidR="00BC3FB4" w:rsidRPr="0083460D" w14:paraId="00CD3C37" w14:textId="77777777" w:rsidTr="00D008AE">
        <w:tc>
          <w:tcPr>
            <w:tcW w:w="1837" w:type="dxa"/>
          </w:tcPr>
          <w:p w14:paraId="7F5A4EB7" w14:textId="77777777" w:rsidR="00B27E17" w:rsidRPr="0083460D" w:rsidRDefault="00B27E17" w:rsidP="00D008AE">
            <w:pPr>
              <w:spacing w:before="120" w:after="120" w:line="276" w:lineRule="auto"/>
              <w:rPr>
                <w:rFonts w:cs="Arial"/>
                <w:i/>
                <w:sz w:val="21"/>
                <w:szCs w:val="21"/>
              </w:rPr>
            </w:pPr>
            <w:r w:rsidRPr="0083460D">
              <w:rPr>
                <w:rFonts w:cs="Arial"/>
                <w:i/>
                <w:sz w:val="21"/>
                <w:szCs w:val="21"/>
              </w:rPr>
              <w:t>Investment Objectives</w:t>
            </w:r>
          </w:p>
        </w:tc>
        <w:tc>
          <w:tcPr>
            <w:tcW w:w="7909" w:type="dxa"/>
          </w:tcPr>
          <w:p w14:paraId="44B11734" w14:textId="1E319643" w:rsidR="00B27E17" w:rsidRDefault="00B27E17" w:rsidP="00D008AE">
            <w:pPr>
              <w:spacing w:before="120" w:after="120" w:line="276" w:lineRule="auto"/>
              <w:rPr>
                <w:rFonts w:cs="Arial"/>
                <w:sz w:val="21"/>
                <w:szCs w:val="21"/>
              </w:rPr>
            </w:pPr>
            <w:r>
              <w:rPr>
                <w:rFonts w:cs="Arial"/>
                <w:sz w:val="21"/>
                <w:szCs w:val="21"/>
              </w:rPr>
              <w:t xml:space="preserve">Morningstar’s </w:t>
            </w:r>
            <w:proofErr w:type="spellStart"/>
            <w:r w:rsidR="00BC3FB4">
              <w:rPr>
                <w:rFonts w:cs="Arial"/>
                <w:sz w:val="21"/>
                <w:szCs w:val="21"/>
              </w:rPr>
              <w:t>Medalist</w:t>
            </w:r>
            <w:proofErr w:type="spellEnd"/>
            <w:r w:rsidR="00BC3FB4">
              <w:rPr>
                <w:rFonts w:cs="Arial"/>
                <w:sz w:val="21"/>
                <w:szCs w:val="21"/>
              </w:rPr>
              <w:t xml:space="preserve"> Core</w:t>
            </w:r>
            <w:r>
              <w:rPr>
                <w:rFonts w:cs="Arial"/>
                <w:sz w:val="21"/>
                <w:szCs w:val="21"/>
              </w:rPr>
              <w:t xml:space="preserve"> portfolios aim to consistently outperform their relevant benchmarks. Underlying managers have been selected based on Morningstar</w:t>
            </w:r>
            <w:r w:rsidR="007F499A">
              <w:rPr>
                <w:rFonts w:cs="Arial"/>
                <w:sz w:val="21"/>
                <w:szCs w:val="21"/>
              </w:rPr>
              <w:t xml:space="preserve"> Australasia’s</w:t>
            </w:r>
            <w:r>
              <w:rPr>
                <w:rFonts w:cs="Arial"/>
                <w:sz w:val="21"/>
                <w:szCs w:val="21"/>
              </w:rPr>
              <w:t xml:space="preserve"> independent medal ratings which considers a manager’s ability to meet and exceed their benchmarks. This, combined with the active/passive optimisation means that your portfolio should be well positioned to exceed its benchmark, so the measure of success is the continued ability to do so.</w:t>
            </w:r>
          </w:p>
          <w:p w14:paraId="4CD3D063" w14:textId="5CD9E004" w:rsidR="00B27E17" w:rsidRPr="0083460D" w:rsidRDefault="00B27E17" w:rsidP="00D008AE">
            <w:pPr>
              <w:spacing w:before="120" w:after="120" w:line="276" w:lineRule="auto"/>
              <w:rPr>
                <w:rFonts w:cs="Arial"/>
                <w:sz w:val="21"/>
                <w:szCs w:val="21"/>
              </w:rPr>
            </w:pPr>
            <w:r w:rsidRPr="0083460D">
              <w:rPr>
                <w:rFonts w:cs="Arial"/>
                <w:b/>
                <w:sz w:val="21"/>
                <w:szCs w:val="21"/>
              </w:rPr>
              <w:t xml:space="preserve">Morningstar </w:t>
            </w:r>
            <w:proofErr w:type="spellStart"/>
            <w:r w:rsidR="00BC3FB4">
              <w:rPr>
                <w:rFonts w:cs="Arial"/>
                <w:b/>
                <w:sz w:val="21"/>
                <w:szCs w:val="21"/>
              </w:rPr>
              <w:t>Medalist</w:t>
            </w:r>
            <w:proofErr w:type="spellEnd"/>
            <w:r w:rsidR="00BC3FB4">
              <w:rPr>
                <w:rFonts w:cs="Arial"/>
                <w:b/>
                <w:sz w:val="21"/>
                <w:szCs w:val="21"/>
              </w:rPr>
              <w:t xml:space="preserve"> Core</w:t>
            </w:r>
            <w:r>
              <w:rPr>
                <w:rFonts w:cs="Arial"/>
                <w:b/>
                <w:sz w:val="21"/>
                <w:szCs w:val="21"/>
              </w:rPr>
              <w:t xml:space="preserve"> </w:t>
            </w:r>
          </w:p>
          <w:tbl>
            <w:tblPr>
              <w:tblStyle w:val="TableGrid"/>
              <w:tblW w:w="5000" w:type="pct"/>
              <w:tblLook w:val="04A0" w:firstRow="1" w:lastRow="0" w:firstColumn="1" w:lastColumn="0" w:noHBand="0" w:noVBand="1"/>
            </w:tblPr>
            <w:tblGrid>
              <w:gridCol w:w="1323"/>
              <w:gridCol w:w="1400"/>
              <w:gridCol w:w="3398"/>
              <w:gridCol w:w="975"/>
            </w:tblGrid>
            <w:tr w:rsidR="00122AF2" w:rsidRPr="0083460D" w14:paraId="471C0400" w14:textId="77777777" w:rsidTr="00BC3FB4">
              <w:tc>
                <w:tcPr>
                  <w:tcW w:w="930" w:type="pct"/>
                  <w:shd w:val="clear" w:color="auto" w:fill="F2F2F2" w:themeFill="background1" w:themeFillShade="F2"/>
                </w:tcPr>
                <w:p w14:paraId="74EE4665" w14:textId="77777777" w:rsidR="00B27E17" w:rsidRPr="0083460D" w:rsidRDefault="00B27E17" w:rsidP="00D008AE">
                  <w:pPr>
                    <w:spacing w:line="276" w:lineRule="auto"/>
                    <w:rPr>
                      <w:rFonts w:cs="Arial"/>
                      <w:b/>
                      <w:sz w:val="21"/>
                      <w:szCs w:val="21"/>
                    </w:rPr>
                  </w:pPr>
                  <w:r w:rsidRPr="0083460D">
                    <w:rPr>
                      <w:rFonts w:cs="Arial"/>
                      <w:b/>
                      <w:sz w:val="21"/>
                      <w:szCs w:val="21"/>
                    </w:rPr>
                    <w:t>Risk Profile</w:t>
                  </w:r>
                </w:p>
              </w:tc>
              <w:tc>
                <w:tcPr>
                  <w:tcW w:w="987" w:type="pct"/>
                  <w:shd w:val="clear" w:color="auto" w:fill="F2F2F2" w:themeFill="background1" w:themeFillShade="F2"/>
                </w:tcPr>
                <w:p w14:paraId="740F8820" w14:textId="77777777" w:rsidR="00B27E17" w:rsidRPr="0083460D" w:rsidRDefault="00B27E17" w:rsidP="00D008AE">
                  <w:pPr>
                    <w:spacing w:line="276" w:lineRule="auto"/>
                    <w:rPr>
                      <w:rFonts w:cs="Arial"/>
                      <w:b/>
                      <w:sz w:val="21"/>
                      <w:szCs w:val="21"/>
                    </w:rPr>
                  </w:pPr>
                  <w:r w:rsidRPr="0083460D">
                    <w:rPr>
                      <w:rFonts w:cs="Arial"/>
                      <w:b/>
                      <w:sz w:val="21"/>
                      <w:szCs w:val="21"/>
                    </w:rPr>
                    <w:t>Portfolio</w:t>
                  </w:r>
                </w:p>
              </w:tc>
              <w:tc>
                <w:tcPr>
                  <w:tcW w:w="2395" w:type="pct"/>
                  <w:shd w:val="clear" w:color="auto" w:fill="F2F2F2" w:themeFill="background1" w:themeFillShade="F2"/>
                </w:tcPr>
                <w:p w14:paraId="12E62226" w14:textId="087E47FF" w:rsidR="00B27E17" w:rsidRPr="0083460D" w:rsidRDefault="00BC3FB4" w:rsidP="00D008AE">
                  <w:pPr>
                    <w:spacing w:line="276" w:lineRule="auto"/>
                    <w:rPr>
                      <w:rFonts w:cs="Arial"/>
                      <w:b/>
                      <w:sz w:val="21"/>
                      <w:szCs w:val="21"/>
                    </w:rPr>
                  </w:pPr>
                  <w:r>
                    <w:rPr>
                      <w:rFonts w:cs="Arial"/>
                      <w:b/>
                      <w:sz w:val="21"/>
                      <w:szCs w:val="21"/>
                    </w:rPr>
                    <w:t>Benchmark</w:t>
                  </w:r>
                </w:p>
              </w:tc>
              <w:tc>
                <w:tcPr>
                  <w:tcW w:w="688" w:type="pct"/>
                  <w:shd w:val="clear" w:color="auto" w:fill="F2F2F2" w:themeFill="background1" w:themeFillShade="F2"/>
                </w:tcPr>
                <w:p w14:paraId="21B8BC49" w14:textId="16295627" w:rsidR="00B27E17" w:rsidRPr="0083460D" w:rsidRDefault="00BC3FB4" w:rsidP="00D008AE">
                  <w:pPr>
                    <w:spacing w:line="276" w:lineRule="auto"/>
                    <w:rPr>
                      <w:rFonts w:cs="Arial"/>
                      <w:b/>
                      <w:sz w:val="21"/>
                      <w:szCs w:val="21"/>
                    </w:rPr>
                  </w:pPr>
                  <w:r>
                    <w:rPr>
                      <w:rFonts w:cs="Arial"/>
                      <w:b/>
                      <w:sz w:val="21"/>
                      <w:szCs w:val="21"/>
                    </w:rPr>
                    <w:t>Period</w:t>
                  </w:r>
                </w:p>
              </w:tc>
            </w:tr>
            <w:tr w:rsidR="00BC3FB4" w:rsidRPr="0083460D" w14:paraId="1772301A" w14:textId="77777777" w:rsidTr="00BC3FB4">
              <w:tc>
                <w:tcPr>
                  <w:tcW w:w="930" w:type="pct"/>
                  <w:shd w:val="clear" w:color="auto" w:fill="F2F2F2" w:themeFill="background1" w:themeFillShade="F2"/>
                </w:tcPr>
                <w:p w14:paraId="18D258C8" w14:textId="77777777" w:rsidR="00B27E17" w:rsidRPr="0083460D" w:rsidRDefault="00B27E17" w:rsidP="00D008AE">
                  <w:pPr>
                    <w:spacing w:line="276" w:lineRule="auto"/>
                    <w:rPr>
                      <w:rFonts w:cs="Arial"/>
                      <w:sz w:val="21"/>
                      <w:szCs w:val="21"/>
                    </w:rPr>
                  </w:pPr>
                  <w:r w:rsidRPr="0083460D">
                    <w:rPr>
                      <w:rFonts w:cs="Arial"/>
                      <w:sz w:val="21"/>
                      <w:szCs w:val="21"/>
                    </w:rPr>
                    <w:t>Conservative</w:t>
                  </w:r>
                </w:p>
              </w:tc>
              <w:tc>
                <w:tcPr>
                  <w:tcW w:w="987" w:type="pct"/>
                </w:tcPr>
                <w:p w14:paraId="4B4F64A6" w14:textId="3AA06B64" w:rsidR="00122AF2" w:rsidRPr="0083460D" w:rsidRDefault="00B27E17" w:rsidP="00122AF2">
                  <w:pPr>
                    <w:spacing w:line="276" w:lineRule="auto"/>
                    <w:rPr>
                      <w:rFonts w:cs="Arial"/>
                      <w:sz w:val="21"/>
                      <w:szCs w:val="21"/>
                    </w:rPr>
                  </w:pPr>
                  <w:r w:rsidRPr="0083460D">
                    <w:rPr>
                      <w:rFonts w:cs="Arial"/>
                      <w:sz w:val="21"/>
                      <w:szCs w:val="21"/>
                    </w:rPr>
                    <w:t>Conservative</w:t>
                  </w:r>
                </w:p>
                <w:p w14:paraId="58A4AFE5" w14:textId="06C9D081" w:rsidR="00B27E17" w:rsidRPr="0083460D" w:rsidRDefault="00B27E17" w:rsidP="00D008AE">
                  <w:pPr>
                    <w:spacing w:line="276" w:lineRule="auto"/>
                    <w:rPr>
                      <w:rFonts w:cs="Arial"/>
                      <w:sz w:val="21"/>
                      <w:szCs w:val="21"/>
                    </w:rPr>
                  </w:pPr>
                </w:p>
              </w:tc>
              <w:tc>
                <w:tcPr>
                  <w:tcW w:w="2395" w:type="pct"/>
                </w:tcPr>
                <w:p w14:paraId="40FCC9B8" w14:textId="39C4E25C" w:rsidR="00B27E17" w:rsidRPr="00122AF2" w:rsidRDefault="00122AF2" w:rsidP="00122AF2">
                  <w:pPr>
                    <w:spacing w:before="120" w:after="120" w:line="276" w:lineRule="auto"/>
                    <w:rPr>
                      <w:rFonts w:eastAsia="Calibri" w:cs="Segoe UI"/>
                      <w:sz w:val="21"/>
                      <w:szCs w:val="21"/>
                    </w:rPr>
                  </w:pPr>
                  <w:r>
                    <w:rPr>
                      <w:rFonts w:eastAsia="Calibri"/>
                      <w:sz w:val="21"/>
                      <w:szCs w:val="21"/>
                    </w:rPr>
                    <w:t>Outperform the composite multi-asset class conservative benchmark over a rolling 3-year period.</w:t>
                  </w:r>
                </w:p>
              </w:tc>
              <w:tc>
                <w:tcPr>
                  <w:tcW w:w="688" w:type="pct"/>
                </w:tcPr>
                <w:p w14:paraId="3CD37667" w14:textId="77777777" w:rsidR="00B27E17" w:rsidRPr="0083460D" w:rsidRDefault="00B27E17" w:rsidP="00D008AE">
                  <w:pPr>
                    <w:spacing w:line="276" w:lineRule="auto"/>
                    <w:rPr>
                      <w:rFonts w:cs="Arial"/>
                      <w:sz w:val="21"/>
                      <w:szCs w:val="21"/>
                    </w:rPr>
                  </w:pPr>
                  <w:r>
                    <w:rPr>
                      <w:rFonts w:cs="Arial"/>
                      <w:sz w:val="21"/>
                      <w:szCs w:val="21"/>
                    </w:rPr>
                    <w:t>3</w:t>
                  </w:r>
                  <w:r w:rsidRPr="0083460D">
                    <w:rPr>
                      <w:rFonts w:cs="Arial"/>
                      <w:sz w:val="21"/>
                      <w:szCs w:val="21"/>
                    </w:rPr>
                    <w:t xml:space="preserve"> years</w:t>
                  </w:r>
                </w:p>
              </w:tc>
            </w:tr>
            <w:tr w:rsidR="00BC3FB4" w:rsidRPr="0083460D" w14:paraId="36E35BE2" w14:textId="77777777" w:rsidTr="00BC3FB4">
              <w:tc>
                <w:tcPr>
                  <w:tcW w:w="930" w:type="pct"/>
                  <w:shd w:val="clear" w:color="auto" w:fill="F2F2F2" w:themeFill="background1" w:themeFillShade="F2"/>
                </w:tcPr>
                <w:p w14:paraId="12AC1164" w14:textId="77777777" w:rsidR="00B27E17" w:rsidRPr="0083460D" w:rsidRDefault="00B27E17" w:rsidP="00D008AE">
                  <w:pPr>
                    <w:spacing w:line="276" w:lineRule="auto"/>
                    <w:rPr>
                      <w:rFonts w:cs="Arial"/>
                      <w:sz w:val="21"/>
                      <w:szCs w:val="21"/>
                    </w:rPr>
                  </w:pPr>
                  <w:r w:rsidRPr="0083460D">
                    <w:rPr>
                      <w:rFonts w:cs="Arial"/>
                      <w:sz w:val="21"/>
                      <w:szCs w:val="21"/>
                    </w:rPr>
                    <w:t>Moderate</w:t>
                  </w:r>
                </w:p>
              </w:tc>
              <w:tc>
                <w:tcPr>
                  <w:tcW w:w="987" w:type="pct"/>
                </w:tcPr>
                <w:p w14:paraId="6E23E8CA" w14:textId="77777777" w:rsidR="00B27E17" w:rsidRPr="0083460D" w:rsidRDefault="00B27E17" w:rsidP="00D008AE">
                  <w:pPr>
                    <w:spacing w:line="276" w:lineRule="auto"/>
                    <w:rPr>
                      <w:rFonts w:cs="Arial"/>
                      <w:sz w:val="21"/>
                      <w:szCs w:val="21"/>
                    </w:rPr>
                  </w:pPr>
                  <w:r w:rsidRPr="0083460D">
                    <w:rPr>
                      <w:rFonts w:cs="Arial"/>
                      <w:sz w:val="21"/>
                      <w:szCs w:val="21"/>
                    </w:rPr>
                    <w:t>Moderate</w:t>
                  </w:r>
                </w:p>
              </w:tc>
              <w:tc>
                <w:tcPr>
                  <w:tcW w:w="2395" w:type="pct"/>
                </w:tcPr>
                <w:p w14:paraId="72A687D0" w14:textId="0265583F" w:rsidR="00B27E17" w:rsidRPr="00122AF2" w:rsidRDefault="00122AF2" w:rsidP="00122AF2">
                  <w:pPr>
                    <w:spacing w:before="120" w:after="120" w:line="276" w:lineRule="auto"/>
                    <w:rPr>
                      <w:rFonts w:eastAsia="Calibri" w:cs="Segoe UI"/>
                      <w:sz w:val="21"/>
                      <w:szCs w:val="21"/>
                    </w:rPr>
                  </w:pPr>
                  <w:r>
                    <w:rPr>
                      <w:rFonts w:eastAsia="Calibri"/>
                      <w:sz w:val="21"/>
                      <w:szCs w:val="21"/>
                    </w:rPr>
                    <w:t>Outperform the composite multi-asset class moderate benchmark over a rolling 3-year period.</w:t>
                  </w:r>
                </w:p>
              </w:tc>
              <w:tc>
                <w:tcPr>
                  <w:tcW w:w="688" w:type="pct"/>
                </w:tcPr>
                <w:p w14:paraId="79B52F45" w14:textId="77777777" w:rsidR="00B27E17" w:rsidRPr="0083460D" w:rsidRDefault="00B27E17" w:rsidP="00D008AE">
                  <w:pPr>
                    <w:spacing w:line="276" w:lineRule="auto"/>
                    <w:rPr>
                      <w:rFonts w:cs="Arial"/>
                      <w:sz w:val="21"/>
                      <w:szCs w:val="21"/>
                    </w:rPr>
                  </w:pPr>
                  <w:r w:rsidRPr="0083460D">
                    <w:rPr>
                      <w:rFonts w:cs="Arial"/>
                      <w:sz w:val="21"/>
                      <w:szCs w:val="21"/>
                    </w:rPr>
                    <w:t>3 years</w:t>
                  </w:r>
                </w:p>
              </w:tc>
            </w:tr>
            <w:tr w:rsidR="00BC3FB4" w:rsidRPr="0083460D" w14:paraId="5560D553" w14:textId="77777777" w:rsidTr="00BC3FB4">
              <w:tc>
                <w:tcPr>
                  <w:tcW w:w="930" w:type="pct"/>
                  <w:shd w:val="clear" w:color="auto" w:fill="F2F2F2" w:themeFill="background1" w:themeFillShade="F2"/>
                </w:tcPr>
                <w:p w14:paraId="790F9E3B" w14:textId="77777777" w:rsidR="00B27E17" w:rsidRPr="0083460D" w:rsidRDefault="00B27E17" w:rsidP="00D008AE">
                  <w:pPr>
                    <w:spacing w:line="276" w:lineRule="auto"/>
                    <w:rPr>
                      <w:rFonts w:cs="Arial"/>
                      <w:sz w:val="21"/>
                      <w:szCs w:val="21"/>
                    </w:rPr>
                  </w:pPr>
                  <w:r w:rsidRPr="0083460D">
                    <w:rPr>
                      <w:rFonts w:cs="Arial"/>
                      <w:sz w:val="21"/>
                      <w:szCs w:val="21"/>
                    </w:rPr>
                    <w:t>Balanced</w:t>
                  </w:r>
                </w:p>
              </w:tc>
              <w:tc>
                <w:tcPr>
                  <w:tcW w:w="987" w:type="pct"/>
                </w:tcPr>
                <w:p w14:paraId="67363EFC" w14:textId="77777777" w:rsidR="00B27E17" w:rsidRPr="0083460D" w:rsidRDefault="00B27E17" w:rsidP="00D008AE">
                  <w:pPr>
                    <w:spacing w:line="276" w:lineRule="auto"/>
                    <w:rPr>
                      <w:rFonts w:cs="Arial"/>
                      <w:sz w:val="21"/>
                      <w:szCs w:val="21"/>
                    </w:rPr>
                  </w:pPr>
                  <w:r w:rsidRPr="0083460D">
                    <w:rPr>
                      <w:rFonts w:cs="Arial"/>
                      <w:sz w:val="21"/>
                      <w:szCs w:val="21"/>
                    </w:rPr>
                    <w:t>Balanced</w:t>
                  </w:r>
                </w:p>
              </w:tc>
              <w:tc>
                <w:tcPr>
                  <w:tcW w:w="2395" w:type="pct"/>
                </w:tcPr>
                <w:p w14:paraId="271B25A3" w14:textId="5E352B06" w:rsidR="00B27E17" w:rsidRPr="00122AF2" w:rsidRDefault="00122AF2" w:rsidP="00122AF2">
                  <w:pPr>
                    <w:spacing w:before="120" w:after="120" w:line="276" w:lineRule="auto"/>
                    <w:rPr>
                      <w:rFonts w:eastAsia="Calibri" w:cs="Segoe UI"/>
                      <w:sz w:val="21"/>
                      <w:szCs w:val="21"/>
                    </w:rPr>
                  </w:pPr>
                  <w:r>
                    <w:rPr>
                      <w:rFonts w:eastAsia="Calibri"/>
                      <w:sz w:val="21"/>
                      <w:szCs w:val="21"/>
                    </w:rPr>
                    <w:t>Outperform the composite multi-asset class balanced benchmark over a rolling 5-year period.</w:t>
                  </w:r>
                </w:p>
              </w:tc>
              <w:tc>
                <w:tcPr>
                  <w:tcW w:w="688" w:type="pct"/>
                </w:tcPr>
                <w:p w14:paraId="577F9AC1" w14:textId="77777777" w:rsidR="00B27E17" w:rsidRPr="0083460D" w:rsidRDefault="00B27E17" w:rsidP="00D008AE">
                  <w:pPr>
                    <w:spacing w:line="276" w:lineRule="auto"/>
                    <w:rPr>
                      <w:rFonts w:cs="Arial"/>
                      <w:sz w:val="21"/>
                      <w:szCs w:val="21"/>
                    </w:rPr>
                  </w:pPr>
                  <w:r w:rsidRPr="0083460D">
                    <w:rPr>
                      <w:rFonts w:cs="Arial"/>
                      <w:sz w:val="21"/>
                      <w:szCs w:val="21"/>
                    </w:rPr>
                    <w:t>5 years</w:t>
                  </w:r>
                </w:p>
              </w:tc>
            </w:tr>
            <w:tr w:rsidR="00BC3FB4" w:rsidRPr="0083460D" w14:paraId="267B513F" w14:textId="77777777" w:rsidTr="00BC3FB4">
              <w:tc>
                <w:tcPr>
                  <w:tcW w:w="930" w:type="pct"/>
                  <w:shd w:val="clear" w:color="auto" w:fill="F2F2F2" w:themeFill="background1" w:themeFillShade="F2"/>
                </w:tcPr>
                <w:p w14:paraId="1491CBD4" w14:textId="77777777" w:rsidR="00B27E17" w:rsidRPr="0083460D" w:rsidRDefault="00B27E17" w:rsidP="00D008AE">
                  <w:pPr>
                    <w:spacing w:line="276" w:lineRule="auto"/>
                    <w:rPr>
                      <w:rFonts w:cs="Arial"/>
                      <w:sz w:val="21"/>
                      <w:szCs w:val="21"/>
                    </w:rPr>
                  </w:pPr>
                  <w:r w:rsidRPr="0083460D">
                    <w:rPr>
                      <w:rFonts w:cs="Arial"/>
                      <w:sz w:val="21"/>
                      <w:szCs w:val="21"/>
                    </w:rPr>
                    <w:t>Growth</w:t>
                  </w:r>
                </w:p>
              </w:tc>
              <w:tc>
                <w:tcPr>
                  <w:tcW w:w="987" w:type="pct"/>
                </w:tcPr>
                <w:p w14:paraId="384531A6" w14:textId="77777777" w:rsidR="00B27E17" w:rsidRPr="0083460D" w:rsidRDefault="00B27E17" w:rsidP="00D008AE">
                  <w:pPr>
                    <w:spacing w:line="276" w:lineRule="auto"/>
                    <w:rPr>
                      <w:rFonts w:cs="Arial"/>
                      <w:sz w:val="21"/>
                      <w:szCs w:val="21"/>
                    </w:rPr>
                  </w:pPr>
                  <w:r w:rsidRPr="0083460D">
                    <w:rPr>
                      <w:rFonts w:cs="Arial"/>
                      <w:sz w:val="21"/>
                      <w:szCs w:val="21"/>
                    </w:rPr>
                    <w:t>Growth</w:t>
                  </w:r>
                </w:p>
              </w:tc>
              <w:tc>
                <w:tcPr>
                  <w:tcW w:w="2395" w:type="pct"/>
                </w:tcPr>
                <w:p w14:paraId="518E7888" w14:textId="1E20C377" w:rsidR="00B27E17" w:rsidRPr="00122AF2" w:rsidRDefault="00122AF2" w:rsidP="00122AF2">
                  <w:pPr>
                    <w:spacing w:before="120" w:after="120" w:line="276" w:lineRule="auto"/>
                    <w:rPr>
                      <w:rFonts w:eastAsia="Calibri" w:cs="Segoe UI"/>
                      <w:sz w:val="21"/>
                      <w:szCs w:val="21"/>
                    </w:rPr>
                  </w:pPr>
                  <w:r>
                    <w:rPr>
                      <w:rFonts w:eastAsia="Calibri"/>
                      <w:sz w:val="21"/>
                      <w:szCs w:val="21"/>
                    </w:rPr>
                    <w:t>Outperform the composite multi-asset class growth benchmark over a rolling 7-year period.</w:t>
                  </w:r>
                </w:p>
              </w:tc>
              <w:tc>
                <w:tcPr>
                  <w:tcW w:w="688" w:type="pct"/>
                </w:tcPr>
                <w:p w14:paraId="61B2E154" w14:textId="77777777" w:rsidR="00B27E17" w:rsidRPr="0083460D" w:rsidRDefault="00B27E17" w:rsidP="00D008AE">
                  <w:pPr>
                    <w:spacing w:line="276" w:lineRule="auto"/>
                    <w:rPr>
                      <w:rFonts w:cs="Arial"/>
                      <w:sz w:val="21"/>
                      <w:szCs w:val="21"/>
                    </w:rPr>
                  </w:pPr>
                  <w:r w:rsidRPr="0083460D">
                    <w:rPr>
                      <w:rFonts w:cs="Arial"/>
                      <w:sz w:val="21"/>
                      <w:szCs w:val="21"/>
                    </w:rPr>
                    <w:t>7 years</w:t>
                  </w:r>
                </w:p>
              </w:tc>
            </w:tr>
            <w:tr w:rsidR="00BC3FB4" w:rsidRPr="0083460D" w14:paraId="60669068" w14:textId="77777777" w:rsidTr="00BC3FB4">
              <w:tc>
                <w:tcPr>
                  <w:tcW w:w="930" w:type="pct"/>
                  <w:shd w:val="clear" w:color="auto" w:fill="F2F2F2" w:themeFill="background1" w:themeFillShade="F2"/>
                </w:tcPr>
                <w:p w14:paraId="51155A02" w14:textId="77777777" w:rsidR="00B27E17" w:rsidRPr="0083460D" w:rsidRDefault="00B27E17" w:rsidP="00D008AE">
                  <w:pPr>
                    <w:spacing w:line="276" w:lineRule="auto"/>
                    <w:rPr>
                      <w:rFonts w:cs="Arial"/>
                      <w:sz w:val="21"/>
                      <w:szCs w:val="21"/>
                    </w:rPr>
                  </w:pPr>
                  <w:r w:rsidRPr="0083460D">
                    <w:rPr>
                      <w:rFonts w:cs="Arial"/>
                      <w:sz w:val="21"/>
                      <w:szCs w:val="21"/>
                    </w:rPr>
                    <w:t>Aggressive</w:t>
                  </w:r>
                </w:p>
              </w:tc>
              <w:tc>
                <w:tcPr>
                  <w:tcW w:w="987" w:type="pct"/>
                </w:tcPr>
                <w:p w14:paraId="3B2AD93E" w14:textId="77777777" w:rsidR="00B27E17" w:rsidRPr="0083460D" w:rsidRDefault="00B27E17" w:rsidP="00D008AE">
                  <w:pPr>
                    <w:spacing w:line="276" w:lineRule="auto"/>
                    <w:rPr>
                      <w:rFonts w:cs="Arial"/>
                      <w:sz w:val="21"/>
                      <w:szCs w:val="21"/>
                    </w:rPr>
                  </w:pPr>
                  <w:r w:rsidRPr="0083460D">
                    <w:rPr>
                      <w:rFonts w:cs="Arial"/>
                      <w:sz w:val="21"/>
                      <w:szCs w:val="21"/>
                    </w:rPr>
                    <w:t>High Growth</w:t>
                  </w:r>
                </w:p>
              </w:tc>
              <w:tc>
                <w:tcPr>
                  <w:tcW w:w="2395" w:type="pct"/>
                </w:tcPr>
                <w:p w14:paraId="75DCE32E" w14:textId="133606FE" w:rsidR="00B27E17" w:rsidRPr="00122AF2" w:rsidRDefault="00122AF2" w:rsidP="00122AF2">
                  <w:pPr>
                    <w:spacing w:before="120" w:after="120" w:line="276" w:lineRule="auto"/>
                    <w:rPr>
                      <w:rFonts w:eastAsia="Calibri" w:cs="Segoe UI"/>
                      <w:sz w:val="21"/>
                      <w:szCs w:val="21"/>
                    </w:rPr>
                  </w:pPr>
                  <w:r>
                    <w:rPr>
                      <w:rFonts w:eastAsia="Calibri"/>
                      <w:sz w:val="21"/>
                      <w:szCs w:val="21"/>
                    </w:rPr>
                    <w:t>Outperform the composite multi-asset class high growth benchmark over a rolling 9-year period.</w:t>
                  </w:r>
                </w:p>
              </w:tc>
              <w:tc>
                <w:tcPr>
                  <w:tcW w:w="688" w:type="pct"/>
                </w:tcPr>
                <w:p w14:paraId="36045CBD" w14:textId="77777777" w:rsidR="00B27E17" w:rsidRPr="0083460D" w:rsidRDefault="00B27E17" w:rsidP="00D008AE">
                  <w:pPr>
                    <w:spacing w:line="276" w:lineRule="auto"/>
                    <w:rPr>
                      <w:rFonts w:cs="Arial"/>
                      <w:sz w:val="21"/>
                      <w:szCs w:val="21"/>
                    </w:rPr>
                  </w:pPr>
                  <w:r w:rsidRPr="0083460D">
                    <w:rPr>
                      <w:rFonts w:cs="Arial"/>
                      <w:sz w:val="21"/>
                      <w:szCs w:val="21"/>
                    </w:rPr>
                    <w:t>9 years</w:t>
                  </w:r>
                </w:p>
              </w:tc>
            </w:tr>
            <w:tr w:rsidR="00BC3FB4" w:rsidRPr="0083460D" w14:paraId="1030E99D" w14:textId="77777777" w:rsidTr="00BC3FB4">
              <w:tc>
                <w:tcPr>
                  <w:tcW w:w="930" w:type="pct"/>
                  <w:shd w:val="clear" w:color="auto" w:fill="F2F2F2" w:themeFill="background1" w:themeFillShade="F2"/>
                </w:tcPr>
                <w:p w14:paraId="59BEC623" w14:textId="77777777" w:rsidR="00B27E17" w:rsidRPr="0083460D" w:rsidRDefault="00B27E17" w:rsidP="00D008AE">
                  <w:pPr>
                    <w:spacing w:line="276" w:lineRule="auto"/>
                    <w:rPr>
                      <w:rFonts w:cs="Arial"/>
                      <w:sz w:val="21"/>
                      <w:szCs w:val="21"/>
                    </w:rPr>
                  </w:pPr>
                  <w:r>
                    <w:rPr>
                      <w:rFonts w:cs="Arial"/>
                      <w:sz w:val="21"/>
                      <w:szCs w:val="21"/>
                    </w:rPr>
                    <w:t>All Growth</w:t>
                  </w:r>
                </w:p>
              </w:tc>
              <w:tc>
                <w:tcPr>
                  <w:tcW w:w="987" w:type="pct"/>
                </w:tcPr>
                <w:p w14:paraId="06C41D30" w14:textId="77777777" w:rsidR="00B27E17" w:rsidRPr="0083460D" w:rsidRDefault="00B27E17" w:rsidP="00D008AE">
                  <w:pPr>
                    <w:spacing w:line="276" w:lineRule="auto"/>
                    <w:rPr>
                      <w:rFonts w:cs="Arial"/>
                      <w:sz w:val="21"/>
                      <w:szCs w:val="21"/>
                    </w:rPr>
                  </w:pPr>
                  <w:r>
                    <w:rPr>
                      <w:rFonts w:cs="Arial"/>
                      <w:sz w:val="21"/>
                      <w:szCs w:val="21"/>
                    </w:rPr>
                    <w:t>All Growth</w:t>
                  </w:r>
                </w:p>
              </w:tc>
              <w:tc>
                <w:tcPr>
                  <w:tcW w:w="2395" w:type="pct"/>
                </w:tcPr>
                <w:p w14:paraId="2CA06034" w14:textId="658818B4" w:rsidR="00B27E17" w:rsidRPr="00122AF2" w:rsidRDefault="00122AF2" w:rsidP="00122AF2">
                  <w:pPr>
                    <w:spacing w:before="120" w:after="120" w:line="276" w:lineRule="auto"/>
                    <w:rPr>
                      <w:rFonts w:eastAsia="Calibri" w:cs="Segoe UI"/>
                      <w:sz w:val="21"/>
                      <w:szCs w:val="21"/>
                    </w:rPr>
                  </w:pPr>
                  <w:r>
                    <w:rPr>
                      <w:rFonts w:eastAsia="Calibri"/>
                      <w:sz w:val="21"/>
                      <w:szCs w:val="21"/>
                    </w:rPr>
                    <w:t>Outperform the composite multi-asset class all growth benchmark over a rolling 10-year period.</w:t>
                  </w:r>
                </w:p>
              </w:tc>
              <w:tc>
                <w:tcPr>
                  <w:tcW w:w="688" w:type="pct"/>
                </w:tcPr>
                <w:p w14:paraId="1F977359" w14:textId="77777777" w:rsidR="00B27E17" w:rsidRPr="0083460D" w:rsidRDefault="00B27E17" w:rsidP="00D008AE">
                  <w:pPr>
                    <w:spacing w:line="276" w:lineRule="auto"/>
                    <w:rPr>
                      <w:rFonts w:cs="Arial"/>
                      <w:sz w:val="21"/>
                      <w:szCs w:val="21"/>
                    </w:rPr>
                  </w:pPr>
                  <w:r>
                    <w:rPr>
                      <w:rFonts w:cs="Arial"/>
                      <w:sz w:val="21"/>
                      <w:szCs w:val="21"/>
                    </w:rPr>
                    <w:t>10 years</w:t>
                  </w:r>
                </w:p>
              </w:tc>
            </w:tr>
          </w:tbl>
          <w:p w14:paraId="3F7EDC11" w14:textId="77777777" w:rsidR="00B27E17" w:rsidRPr="0083460D" w:rsidRDefault="00B27E17" w:rsidP="00D008AE">
            <w:pPr>
              <w:spacing w:before="120" w:after="120" w:line="276" w:lineRule="auto"/>
              <w:rPr>
                <w:rFonts w:cs="Arial"/>
                <w:sz w:val="21"/>
                <w:szCs w:val="21"/>
              </w:rPr>
            </w:pPr>
          </w:p>
        </w:tc>
      </w:tr>
    </w:tbl>
    <w:p w14:paraId="3C79A584" w14:textId="77777777" w:rsidR="00B27E17" w:rsidRDefault="00B27E17" w:rsidP="00B27E17">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245"/>
      </w:tblGrid>
      <w:tr w:rsidR="00A0504E" w:rsidRPr="0083460D" w14:paraId="3A03D092" w14:textId="77777777" w:rsidTr="00D008AE">
        <w:tc>
          <w:tcPr>
            <w:tcW w:w="1837" w:type="dxa"/>
          </w:tcPr>
          <w:p w14:paraId="21CF993D" w14:textId="65603261" w:rsidR="00B27E17" w:rsidRPr="0083460D" w:rsidRDefault="00B27E17" w:rsidP="00D008AE">
            <w:pPr>
              <w:spacing w:before="120" w:after="120" w:line="276" w:lineRule="auto"/>
              <w:rPr>
                <w:rFonts w:cs="Arial"/>
                <w:i/>
                <w:sz w:val="21"/>
                <w:szCs w:val="21"/>
              </w:rPr>
            </w:pPr>
            <w:r>
              <w:rPr>
                <w:rFonts w:cs="Arial"/>
                <w:i/>
                <w:sz w:val="21"/>
                <w:szCs w:val="21"/>
              </w:rPr>
              <w:t>Asset Allocation Approach</w:t>
            </w:r>
          </w:p>
        </w:tc>
        <w:tc>
          <w:tcPr>
            <w:tcW w:w="7909" w:type="dxa"/>
          </w:tcPr>
          <w:p w14:paraId="5522FAFE" w14:textId="5F585692" w:rsidR="00B27E17" w:rsidRPr="0083460D" w:rsidRDefault="00B27E17" w:rsidP="00D008AE">
            <w:pPr>
              <w:spacing w:before="120" w:after="120" w:line="276" w:lineRule="auto"/>
              <w:rPr>
                <w:rFonts w:cs="Arial"/>
                <w:sz w:val="21"/>
                <w:szCs w:val="21"/>
              </w:rPr>
            </w:pPr>
            <w:r>
              <w:rPr>
                <w:rFonts w:cs="Arial"/>
                <w:sz w:val="21"/>
                <w:szCs w:val="21"/>
              </w:rPr>
              <w:t xml:space="preserve">Your recommended portfolio follows a ‘Strategic Asset Allocation’ approach. This approach ensures that your portfolio aligns with the level of risk you need to achieve your objectives. It also ensures your investment is well-diversified with a mix of assets to ensure that you </w:t>
            </w:r>
            <w:r w:rsidR="0014147F">
              <w:rPr>
                <w:rFonts w:cs="Arial"/>
                <w:sz w:val="21"/>
                <w:szCs w:val="21"/>
              </w:rPr>
              <w:t>do not hold all of your eggs in one basket. Taking a strategic asset allocation approach means that we are not trying to time the market, instead leaving funds invested to benefit from the compounding effect of returns over the long term.</w:t>
            </w:r>
          </w:p>
        </w:tc>
      </w:tr>
      <w:tr w:rsidR="00A0504E" w:rsidRPr="0083460D" w14:paraId="1C4AD08C" w14:textId="77777777" w:rsidTr="00D008AE">
        <w:tc>
          <w:tcPr>
            <w:tcW w:w="1837" w:type="dxa"/>
          </w:tcPr>
          <w:p w14:paraId="357A0115" w14:textId="11389037" w:rsidR="0014147F" w:rsidRDefault="00061AA2" w:rsidP="00D008AE">
            <w:pPr>
              <w:spacing w:before="120" w:after="120" w:line="276" w:lineRule="auto"/>
              <w:rPr>
                <w:rFonts w:cs="Arial"/>
                <w:i/>
                <w:sz w:val="21"/>
                <w:szCs w:val="21"/>
              </w:rPr>
            </w:pPr>
            <w:r>
              <w:rPr>
                <w:rFonts w:cs="Arial"/>
                <w:i/>
                <w:sz w:val="21"/>
                <w:szCs w:val="21"/>
              </w:rPr>
              <w:lastRenderedPageBreak/>
              <w:t>Portfolio Construction</w:t>
            </w:r>
          </w:p>
        </w:tc>
        <w:tc>
          <w:tcPr>
            <w:tcW w:w="7909" w:type="dxa"/>
          </w:tcPr>
          <w:p w14:paraId="34D411D8" w14:textId="6F5E3D50" w:rsidR="00A0504E" w:rsidRDefault="00A0504E" w:rsidP="00D008AE">
            <w:pPr>
              <w:spacing w:before="120" w:after="120" w:line="276" w:lineRule="auto"/>
              <w:rPr>
                <w:rFonts w:cs="Arial"/>
                <w:sz w:val="21"/>
                <w:szCs w:val="21"/>
              </w:rPr>
            </w:pPr>
            <w:r>
              <w:rPr>
                <w:rFonts w:cs="Arial"/>
                <w:sz w:val="21"/>
                <w:szCs w:val="21"/>
              </w:rPr>
              <w:t xml:space="preserve">The </w:t>
            </w:r>
            <w:proofErr w:type="spellStart"/>
            <w:r w:rsidR="00BC3FB4">
              <w:rPr>
                <w:rFonts w:cs="Arial"/>
                <w:sz w:val="21"/>
                <w:szCs w:val="21"/>
              </w:rPr>
              <w:t>Medalist</w:t>
            </w:r>
            <w:proofErr w:type="spellEnd"/>
            <w:r w:rsidR="00BC3FB4">
              <w:rPr>
                <w:rFonts w:cs="Arial"/>
                <w:sz w:val="21"/>
                <w:szCs w:val="21"/>
              </w:rPr>
              <w:t xml:space="preserve"> Core </w:t>
            </w:r>
            <w:r>
              <w:rPr>
                <w:rFonts w:cs="Arial"/>
                <w:sz w:val="21"/>
                <w:szCs w:val="21"/>
              </w:rPr>
              <w:t>portfolios are unique in that they represent the best thinking of Morningstar</w:t>
            </w:r>
            <w:r w:rsidR="007F499A">
              <w:rPr>
                <w:rFonts w:cs="Arial"/>
                <w:sz w:val="21"/>
                <w:szCs w:val="21"/>
              </w:rPr>
              <w:t xml:space="preserve"> Australasia’s</w:t>
            </w:r>
            <w:r>
              <w:rPr>
                <w:rFonts w:cs="Arial"/>
                <w:sz w:val="21"/>
                <w:szCs w:val="21"/>
              </w:rPr>
              <w:t xml:space="preserve"> research business, coupled with the portfolio management capability of Morningstar’s investment management business.</w:t>
            </w:r>
          </w:p>
          <w:p w14:paraId="22249208" w14:textId="7F053342" w:rsidR="0014147F" w:rsidRDefault="00061AA2" w:rsidP="00D008AE">
            <w:pPr>
              <w:spacing w:before="120" w:after="120" w:line="276" w:lineRule="auto"/>
              <w:rPr>
                <w:rFonts w:cs="Arial"/>
                <w:sz w:val="21"/>
                <w:szCs w:val="21"/>
              </w:rPr>
            </w:pPr>
            <w:r>
              <w:rPr>
                <w:rFonts w:cs="Arial"/>
                <w:sz w:val="21"/>
                <w:szCs w:val="21"/>
              </w:rPr>
              <w:t>In constructing your portfolio, Morningstar first considers funds that are rated either Gold, Silver, or Bronze.  These funds represent the strongest fund managers in Australia based on Morningstar</w:t>
            </w:r>
            <w:r w:rsidR="007F499A">
              <w:rPr>
                <w:rFonts w:cs="Arial"/>
                <w:sz w:val="21"/>
                <w:szCs w:val="21"/>
              </w:rPr>
              <w:t xml:space="preserve"> Australasia</w:t>
            </w:r>
            <w:r>
              <w:rPr>
                <w:rFonts w:cs="Arial"/>
                <w:sz w:val="21"/>
                <w:szCs w:val="21"/>
              </w:rPr>
              <w:t>’s independent, forward-looking criteria used to determine the manager’s ability to meet and exceed their objectives.</w:t>
            </w:r>
          </w:p>
          <w:p w14:paraId="24884EFC" w14:textId="7F1C2490" w:rsidR="00061AA2" w:rsidRDefault="00A0504E" w:rsidP="00A0504E">
            <w:pPr>
              <w:spacing w:before="120" w:after="120" w:line="276" w:lineRule="auto"/>
              <w:rPr>
                <w:rFonts w:cs="Arial"/>
                <w:sz w:val="21"/>
                <w:szCs w:val="21"/>
              </w:rPr>
            </w:pPr>
            <w:r>
              <w:rPr>
                <w:rFonts w:cs="Arial"/>
                <w:sz w:val="21"/>
                <w:szCs w:val="21"/>
              </w:rPr>
              <w:t xml:space="preserve">The portfolio construction has a built in active/passive optimisation which aims to ensure that you only pay higher fees where history shows this to be worthwhile. To achieve this, </w:t>
            </w:r>
            <w:r w:rsidR="00061AA2">
              <w:rPr>
                <w:rFonts w:cs="Arial"/>
                <w:sz w:val="21"/>
                <w:szCs w:val="21"/>
              </w:rPr>
              <w:t xml:space="preserve">Morningstar have completed </w:t>
            </w:r>
            <w:r>
              <w:rPr>
                <w:rFonts w:cs="Arial"/>
                <w:sz w:val="21"/>
                <w:szCs w:val="21"/>
              </w:rPr>
              <w:t xml:space="preserve">in-depth analysis to determine the likelihood of active managers outperforming the market. Where this likelihood is high, they use active managers, which are generally more expensive, aiming to provide you with greater returns. Where the likelihood is low, Morningstar opt for passive managers to ensure the cost to you is minimised.  </w:t>
            </w:r>
          </w:p>
        </w:tc>
      </w:tr>
    </w:tbl>
    <w:p w14:paraId="731F3138" w14:textId="77777777" w:rsidR="00A0504E" w:rsidRDefault="00A0504E" w:rsidP="00A0504E">
      <w:pPr>
        <w:pStyle w:val="Heading2"/>
      </w:pPr>
    </w:p>
    <w:p w14:paraId="176CA4FD" w14:textId="77777777" w:rsidR="00A0504E" w:rsidRDefault="00A0504E">
      <w:pPr>
        <w:rPr>
          <w:rFonts w:asciiTheme="majorHAnsi" w:eastAsiaTheme="majorEastAsia" w:hAnsiTheme="majorHAnsi" w:cstheme="majorBidi"/>
          <w:color w:val="2F5496" w:themeColor="accent1" w:themeShade="BF"/>
          <w:sz w:val="26"/>
          <w:szCs w:val="26"/>
        </w:rPr>
      </w:pPr>
      <w:r>
        <w:br w:type="page"/>
      </w:r>
    </w:p>
    <w:p w14:paraId="7C6618B7" w14:textId="431033BF" w:rsidR="00B27E17" w:rsidRDefault="00BC3FB4" w:rsidP="00A0504E">
      <w:pPr>
        <w:pStyle w:val="Heading2"/>
      </w:pPr>
      <w:bookmarkStart w:id="11" w:name="_Toc130885778"/>
      <w:proofErr w:type="spellStart"/>
      <w:r>
        <w:lastRenderedPageBreak/>
        <w:t>Medalist</w:t>
      </w:r>
      <w:proofErr w:type="spellEnd"/>
      <w:r>
        <w:t xml:space="preserve"> Core</w:t>
      </w:r>
      <w:r w:rsidR="00A0504E">
        <w:t xml:space="preserve"> Portfolios</w:t>
      </w:r>
      <w:bookmarkEnd w:id="11"/>
    </w:p>
    <w:p w14:paraId="49D140EA" w14:textId="7E3EA7DF" w:rsidR="00BC3FB4" w:rsidRPr="00A0504E" w:rsidRDefault="00EB0F1C" w:rsidP="00BC3FB4">
      <w:pPr>
        <w:pStyle w:val="Heading3"/>
        <w:rPr>
          <w:rStyle w:val="Strong"/>
          <w:b w:val="0"/>
          <w:bCs w:val="0"/>
        </w:rPr>
      </w:pPr>
      <w:bookmarkStart w:id="12" w:name="_Toc130885779"/>
      <w:bookmarkStart w:id="13" w:name="_Toc94277608"/>
      <w:bookmarkStart w:id="14" w:name="_Toc118898686"/>
      <w:r>
        <w:rPr>
          <w:rStyle w:val="Strong"/>
          <w:b w:val="0"/>
          <w:bCs w:val="0"/>
        </w:rPr>
        <w:t xml:space="preserve">Conservative </w:t>
      </w:r>
      <w:r w:rsidR="00BC3FB4" w:rsidRPr="72091836">
        <w:rPr>
          <w:rStyle w:val="Strong"/>
          <w:b w:val="0"/>
          <w:bCs w:val="0"/>
        </w:rPr>
        <w:t xml:space="preserve"> (15)</w:t>
      </w:r>
      <w:bookmarkEnd w:id="12"/>
    </w:p>
    <w:tbl>
      <w:tblPr>
        <w:tblW w:w="4988" w:type="pct"/>
        <w:tblLook w:val="0000" w:firstRow="0" w:lastRow="0" w:firstColumn="0" w:lastColumn="0" w:noHBand="0" w:noVBand="0"/>
      </w:tblPr>
      <w:tblGrid>
        <w:gridCol w:w="1797"/>
        <w:gridCol w:w="7207"/>
      </w:tblGrid>
      <w:tr w:rsidR="00BC3FB4" w:rsidRPr="0083460D" w14:paraId="393560FE" w14:textId="77777777" w:rsidTr="72091836">
        <w:tc>
          <w:tcPr>
            <w:tcW w:w="998" w:type="pct"/>
            <w:tcBorders>
              <w:top w:val="single" w:sz="4" w:space="0" w:color="C0C0C0"/>
              <w:bottom w:val="single" w:sz="4" w:space="0" w:color="C0C0C0"/>
            </w:tcBorders>
            <w:shd w:val="clear" w:color="auto" w:fill="auto"/>
          </w:tcPr>
          <w:p w14:paraId="7BB433C3" w14:textId="77777777" w:rsidR="00BC3FB4" w:rsidRPr="0083460D" w:rsidRDefault="00BC3FB4" w:rsidP="00D008AE">
            <w:pPr>
              <w:spacing w:before="120" w:after="120" w:line="276" w:lineRule="auto"/>
              <w:rPr>
                <w:sz w:val="21"/>
                <w:szCs w:val="21"/>
              </w:rPr>
            </w:pPr>
            <w:r w:rsidRPr="0083460D">
              <w:rPr>
                <w:b/>
                <w:color w:val="9E9E9E"/>
                <w:sz w:val="21"/>
                <w:szCs w:val="21"/>
              </w:rPr>
              <w:t>Why</w:t>
            </w:r>
          </w:p>
        </w:tc>
        <w:tc>
          <w:tcPr>
            <w:tcW w:w="4002" w:type="pct"/>
            <w:tcBorders>
              <w:top w:val="single" w:sz="4" w:space="0" w:color="C0C0C0"/>
              <w:bottom w:val="single" w:sz="4" w:space="0" w:color="C0C0C0"/>
            </w:tcBorders>
            <w:shd w:val="clear" w:color="auto" w:fill="auto"/>
          </w:tcPr>
          <w:p w14:paraId="4B32A91D" w14:textId="77777777" w:rsidR="00BC3FB4" w:rsidRPr="0083460D" w:rsidRDefault="00BC3FB4" w:rsidP="00D008AE">
            <w:pPr>
              <w:numPr>
                <w:ilvl w:val="0"/>
                <w:numId w:val="1"/>
              </w:numPr>
              <w:spacing w:before="120" w:after="120" w:line="276" w:lineRule="auto"/>
              <w:rPr>
                <w:rFonts w:eastAsia="Calibri"/>
                <w:sz w:val="21"/>
                <w:szCs w:val="21"/>
              </w:rPr>
            </w:pPr>
            <w:r w:rsidRPr="72091836">
              <w:rPr>
                <w:rFonts w:eastAsia="Calibri"/>
                <w:sz w:val="21"/>
                <w:szCs w:val="21"/>
              </w:rPr>
              <w:t xml:space="preserve">Your desire is to achieve a consistent return by investing in a diversified portfolio of predominately defensive asset classes, such as cash and fixed interest, with a small proportion of growth assets, like Australian shares, </w:t>
            </w:r>
            <w:proofErr w:type="gramStart"/>
            <w:r w:rsidRPr="72091836">
              <w:rPr>
                <w:rFonts w:eastAsia="Calibri"/>
                <w:sz w:val="21"/>
                <w:szCs w:val="21"/>
              </w:rPr>
              <w:t>property</w:t>
            </w:r>
            <w:proofErr w:type="gramEnd"/>
            <w:r w:rsidRPr="72091836">
              <w:rPr>
                <w:rFonts w:eastAsia="Calibri"/>
                <w:sz w:val="21"/>
                <w:szCs w:val="21"/>
              </w:rPr>
              <w:t xml:space="preserve"> and international shares. </w:t>
            </w:r>
          </w:p>
          <w:p w14:paraId="718E9F50" w14:textId="5B90F34B" w:rsidR="00BC3FB4" w:rsidRPr="00A0504E" w:rsidRDefault="00BC3FB4" w:rsidP="00D008AE">
            <w:pPr>
              <w:numPr>
                <w:ilvl w:val="0"/>
                <w:numId w:val="1"/>
              </w:numPr>
              <w:spacing w:before="120" w:after="120" w:line="276" w:lineRule="auto"/>
              <w:rPr>
                <w:rFonts w:eastAsia="Calibri" w:cs="Segoe UI"/>
                <w:sz w:val="21"/>
                <w:szCs w:val="21"/>
              </w:rPr>
            </w:pPr>
            <w:r w:rsidRPr="72091836">
              <w:rPr>
                <w:rFonts w:eastAsia="Calibri"/>
                <w:sz w:val="21"/>
                <w:szCs w:val="21"/>
              </w:rPr>
              <w:t xml:space="preserve">Your portfolio has been constructed with the objective of producing a return that exceeds </w:t>
            </w:r>
            <w:r w:rsidR="0013226B">
              <w:rPr>
                <w:rFonts w:eastAsia="Calibri"/>
                <w:sz w:val="21"/>
                <w:szCs w:val="21"/>
              </w:rPr>
              <w:t xml:space="preserve">the </w:t>
            </w:r>
            <w:r w:rsidR="00876E6C">
              <w:rPr>
                <w:rFonts w:eastAsia="Calibri"/>
                <w:sz w:val="21"/>
                <w:szCs w:val="21"/>
              </w:rPr>
              <w:t>portfolio’s composite multi-asset class conservative benchmark over a rolling 3-year period.</w:t>
            </w:r>
          </w:p>
          <w:p w14:paraId="245E0E15" w14:textId="63BD0FDC" w:rsidR="00D50EF4" w:rsidRDefault="00B10C6C" w:rsidP="00D008AE">
            <w:pPr>
              <w:numPr>
                <w:ilvl w:val="0"/>
                <w:numId w:val="1"/>
              </w:numPr>
              <w:spacing w:before="120" w:after="120" w:line="276" w:lineRule="auto"/>
              <w:rPr>
                <w:rFonts w:eastAsia="Calibri"/>
                <w:sz w:val="21"/>
                <w:szCs w:val="21"/>
              </w:rPr>
            </w:pPr>
            <w:r>
              <w:rPr>
                <w:rFonts w:eastAsia="Calibri"/>
                <w:sz w:val="21"/>
                <w:szCs w:val="21"/>
              </w:rPr>
              <w:t>Your</w:t>
            </w:r>
            <w:r w:rsidRPr="00B10C6C">
              <w:rPr>
                <w:rFonts w:eastAsia="Calibri"/>
                <w:sz w:val="21"/>
                <w:szCs w:val="21"/>
              </w:rPr>
              <w:t xml:space="preserve"> portfolio is powered by Morningstar’s independent research and portfolio construction capabilities, leveraging </w:t>
            </w:r>
            <w:r>
              <w:rPr>
                <w:rFonts w:eastAsia="Calibri"/>
                <w:sz w:val="21"/>
                <w:szCs w:val="21"/>
              </w:rPr>
              <w:t>their</w:t>
            </w:r>
            <w:r w:rsidRPr="00B10C6C">
              <w:rPr>
                <w:rFonts w:eastAsia="Calibri"/>
                <w:sz w:val="21"/>
                <w:szCs w:val="21"/>
              </w:rPr>
              <w:t xml:space="preserve"> global capabilities and resources.</w:t>
            </w:r>
          </w:p>
          <w:p w14:paraId="18E1FAF5" w14:textId="77777777" w:rsidR="00702148" w:rsidRDefault="00702148" w:rsidP="00D008AE">
            <w:pPr>
              <w:numPr>
                <w:ilvl w:val="0"/>
                <w:numId w:val="1"/>
              </w:numPr>
              <w:spacing w:before="120" w:after="120" w:line="276" w:lineRule="auto"/>
              <w:rPr>
                <w:rFonts w:eastAsia="Calibri"/>
                <w:sz w:val="21"/>
                <w:szCs w:val="21"/>
              </w:rPr>
            </w:pPr>
            <w:r>
              <w:rPr>
                <w:rFonts w:eastAsia="Calibri"/>
                <w:sz w:val="21"/>
                <w:szCs w:val="21"/>
              </w:rPr>
              <w:t>Your</w:t>
            </w:r>
            <w:r w:rsidRPr="00702148">
              <w:rPr>
                <w:rFonts w:eastAsia="Calibri"/>
                <w:sz w:val="21"/>
                <w:szCs w:val="21"/>
              </w:rPr>
              <w:t xml:space="preserve"> portfolio has exposure to a diverse mix of managed investments, which include primarily interest- producing and some growth assets. Over the long term,</w:t>
            </w:r>
            <w:r>
              <w:rPr>
                <w:rFonts w:eastAsia="Calibri"/>
                <w:sz w:val="21"/>
                <w:szCs w:val="21"/>
              </w:rPr>
              <w:t xml:space="preserve"> your p</w:t>
            </w:r>
            <w:r w:rsidRPr="00702148">
              <w:rPr>
                <w:rFonts w:eastAsia="Calibri"/>
                <w:sz w:val="21"/>
                <w:szCs w:val="21"/>
              </w:rPr>
              <w:t xml:space="preserve">ortfolio aims to have an 85% allocation to defensive assets and a 15% allocation to growth assets. </w:t>
            </w:r>
          </w:p>
          <w:p w14:paraId="782C496A" w14:textId="5DBBD4EC" w:rsidR="00B10C6C" w:rsidRDefault="00702148" w:rsidP="00D008AE">
            <w:pPr>
              <w:numPr>
                <w:ilvl w:val="0"/>
                <w:numId w:val="1"/>
              </w:numPr>
              <w:spacing w:before="120" w:after="120" w:line="276" w:lineRule="auto"/>
              <w:rPr>
                <w:rFonts w:eastAsia="Calibri"/>
                <w:sz w:val="21"/>
                <w:szCs w:val="21"/>
              </w:rPr>
            </w:pPr>
            <w:r>
              <w:rPr>
                <w:rFonts w:eastAsia="Calibri"/>
                <w:sz w:val="21"/>
                <w:szCs w:val="21"/>
              </w:rPr>
              <w:t>Your p</w:t>
            </w:r>
            <w:r w:rsidRPr="00702148">
              <w:rPr>
                <w:rFonts w:eastAsia="Calibri"/>
                <w:sz w:val="21"/>
                <w:szCs w:val="21"/>
              </w:rPr>
              <w:t>ortfolio aims to reduce the probability of a significant negative return through a high exposure to defensive asset classes.</w:t>
            </w:r>
          </w:p>
          <w:p w14:paraId="0F3EB131" w14:textId="77777777" w:rsidR="00BC3FB4" w:rsidRDefault="00BC3FB4" w:rsidP="00D008AE">
            <w:pPr>
              <w:numPr>
                <w:ilvl w:val="0"/>
                <w:numId w:val="1"/>
              </w:numPr>
              <w:spacing w:before="120" w:after="120" w:line="276" w:lineRule="auto"/>
              <w:rPr>
                <w:rFonts w:eastAsia="Calibri"/>
                <w:sz w:val="21"/>
                <w:szCs w:val="21"/>
              </w:rPr>
            </w:pPr>
            <w:r>
              <w:rPr>
                <w:rFonts w:eastAsia="Calibri"/>
                <w:sz w:val="21"/>
                <w:szCs w:val="21"/>
              </w:rPr>
              <w:t>Your portfolio will be managed by Morningstar Investment Management, using third-party fund managers who are amongst Morningstar’s highest rated according to their independent research.</w:t>
            </w:r>
          </w:p>
          <w:p w14:paraId="598F74F1" w14:textId="77777777" w:rsidR="00BC3FB4" w:rsidRDefault="00BC3FB4" w:rsidP="00D008AE">
            <w:pPr>
              <w:numPr>
                <w:ilvl w:val="0"/>
                <w:numId w:val="1"/>
              </w:numPr>
              <w:spacing w:before="120" w:after="120" w:line="276" w:lineRule="auto"/>
              <w:rPr>
                <w:rFonts w:eastAsia="Calibri"/>
                <w:sz w:val="21"/>
                <w:szCs w:val="21"/>
              </w:rPr>
            </w:pPr>
            <w:r w:rsidRPr="72091836">
              <w:rPr>
                <w:rFonts w:eastAsia="Calibri"/>
                <w:sz w:val="21"/>
                <w:szCs w:val="21"/>
              </w:rPr>
              <w:t>The investment style of your portfolio has been optimised according to the probability of achieving the best performance for the lowest cost.</w:t>
            </w:r>
            <w:r w:rsidR="00C26DB0">
              <w:rPr>
                <w:rFonts w:eastAsia="Calibri"/>
                <w:sz w:val="21"/>
                <w:szCs w:val="21"/>
              </w:rPr>
              <w:t xml:space="preserve"> </w:t>
            </w:r>
            <w:r w:rsidRPr="72091836">
              <w:rPr>
                <w:rFonts w:eastAsia="Calibri"/>
                <w:sz w:val="21"/>
                <w:szCs w:val="21"/>
              </w:rPr>
              <w:t xml:space="preserve">Where the likelihood of outperformance of the market is high, you will have an allocation to active managers, where this is low, you will have an allocation to passive managers. </w:t>
            </w:r>
          </w:p>
          <w:p w14:paraId="73204CF6" w14:textId="16B1DBD3" w:rsidR="00CD2400" w:rsidRPr="00E56275" w:rsidRDefault="0078496C" w:rsidP="00D008AE">
            <w:pPr>
              <w:numPr>
                <w:ilvl w:val="0"/>
                <w:numId w:val="1"/>
              </w:numPr>
              <w:spacing w:before="120" w:after="120" w:line="276" w:lineRule="auto"/>
              <w:rPr>
                <w:rFonts w:eastAsia="Calibri"/>
                <w:sz w:val="21"/>
                <w:szCs w:val="21"/>
              </w:rPr>
            </w:pPr>
            <w:r>
              <w:rPr>
                <w:rFonts w:eastAsia="Calibri"/>
                <w:sz w:val="21"/>
                <w:szCs w:val="21"/>
              </w:rPr>
              <w:t xml:space="preserve">The underlying </w:t>
            </w:r>
            <w:r w:rsidRPr="0078496C">
              <w:rPr>
                <w:rFonts w:eastAsia="Calibri"/>
                <w:sz w:val="21"/>
                <w:szCs w:val="21"/>
              </w:rPr>
              <w:t xml:space="preserve">fund managers, their funds and the construction of </w:t>
            </w:r>
            <w:r>
              <w:rPr>
                <w:rFonts w:eastAsia="Calibri"/>
                <w:sz w:val="21"/>
                <w:szCs w:val="21"/>
              </w:rPr>
              <w:t>your</w:t>
            </w:r>
            <w:r w:rsidRPr="0078496C">
              <w:rPr>
                <w:rFonts w:eastAsia="Calibri"/>
                <w:sz w:val="21"/>
                <w:szCs w:val="21"/>
              </w:rPr>
              <w:t xml:space="preserve"> </w:t>
            </w:r>
            <w:r>
              <w:rPr>
                <w:rFonts w:eastAsia="Calibri"/>
                <w:sz w:val="21"/>
                <w:szCs w:val="21"/>
              </w:rPr>
              <w:t>p</w:t>
            </w:r>
            <w:r w:rsidRPr="0078496C">
              <w:rPr>
                <w:rFonts w:eastAsia="Calibri"/>
                <w:sz w:val="21"/>
                <w:szCs w:val="21"/>
              </w:rPr>
              <w:t xml:space="preserve">ortfolio </w:t>
            </w:r>
            <w:r w:rsidR="007507AC">
              <w:rPr>
                <w:rFonts w:eastAsia="Calibri"/>
                <w:sz w:val="21"/>
                <w:szCs w:val="21"/>
              </w:rPr>
              <w:t>are</w:t>
            </w:r>
            <w:r w:rsidRPr="0078496C">
              <w:rPr>
                <w:rFonts w:eastAsia="Calibri"/>
                <w:sz w:val="21"/>
                <w:szCs w:val="21"/>
              </w:rPr>
              <w:t xml:space="preserve"> regularly reviewed for suitability and market conditions.</w:t>
            </w:r>
          </w:p>
        </w:tc>
      </w:tr>
      <w:tr w:rsidR="00BC3FB4" w:rsidRPr="0083460D" w14:paraId="77691FD9" w14:textId="77777777" w:rsidTr="72091836">
        <w:tc>
          <w:tcPr>
            <w:tcW w:w="998" w:type="pct"/>
            <w:tcBorders>
              <w:top w:val="single" w:sz="4" w:space="0" w:color="C0C0C0"/>
              <w:bottom w:val="single" w:sz="4" w:space="0" w:color="C0C0C0"/>
            </w:tcBorders>
            <w:shd w:val="clear" w:color="auto" w:fill="auto"/>
          </w:tcPr>
          <w:p w14:paraId="4FD6D234" w14:textId="77777777" w:rsidR="00BC3FB4" w:rsidRPr="0083460D" w:rsidRDefault="00BC3FB4" w:rsidP="00D008AE">
            <w:pPr>
              <w:spacing w:before="120" w:after="120" w:line="276" w:lineRule="auto"/>
              <w:rPr>
                <w:b/>
                <w:color w:val="9E9E9E"/>
                <w:sz w:val="21"/>
                <w:szCs w:val="21"/>
              </w:rPr>
            </w:pPr>
            <w:r w:rsidRPr="0083460D">
              <w:rPr>
                <w:sz w:val="21"/>
                <w:szCs w:val="21"/>
              </w:rPr>
              <w:br w:type="page"/>
            </w:r>
            <w:r w:rsidRPr="0083460D">
              <w:rPr>
                <w:b/>
                <w:color w:val="9E9E9E"/>
                <w:sz w:val="21"/>
                <w:szCs w:val="21"/>
              </w:rPr>
              <w:t>Risks</w:t>
            </w:r>
          </w:p>
        </w:tc>
        <w:tc>
          <w:tcPr>
            <w:tcW w:w="4002" w:type="pct"/>
            <w:tcBorders>
              <w:top w:val="single" w:sz="4" w:space="0" w:color="C0C0C0"/>
              <w:bottom w:val="single" w:sz="4" w:space="0" w:color="C0C0C0"/>
            </w:tcBorders>
            <w:shd w:val="clear" w:color="auto" w:fill="auto"/>
          </w:tcPr>
          <w:p w14:paraId="7F4AFE3C"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A </w:t>
            </w:r>
            <w:r>
              <w:rPr>
                <w:rFonts w:eastAsia="Calibri" w:cs="Segoe UI"/>
                <w:sz w:val="21"/>
                <w:szCs w:val="21"/>
              </w:rPr>
              <w:t>low</w:t>
            </w:r>
            <w:r w:rsidRPr="0083460D">
              <w:rPr>
                <w:rFonts w:eastAsia="Calibri" w:cs="Segoe UI"/>
                <w:sz w:val="21"/>
                <w:szCs w:val="21"/>
              </w:rPr>
              <w:t xml:space="preserve"> level of volatility can be expected from time to time</w:t>
            </w:r>
            <w:r>
              <w:rPr>
                <w:rFonts w:eastAsia="Calibri" w:cs="Segoe UI"/>
                <w:sz w:val="21"/>
                <w:szCs w:val="21"/>
              </w:rPr>
              <w:t>,</w:t>
            </w:r>
            <w:r w:rsidRPr="0083460D">
              <w:rPr>
                <w:rFonts w:eastAsia="Calibri" w:cs="Segoe UI"/>
                <w:sz w:val="21"/>
                <w:szCs w:val="21"/>
              </w:rPr>
              <w:t xml:space="preserve"> </w:t>
            </w:r>
            <w:proofErr w:type="gramStart"/>
            <w:r w:rsidRPr="0083460D">
              <w:rPr>
                <w:rFonts w:eastAsia="Calibri" w:cs="Segoe UI"/>
                <w:sz w:val="21"/>
                <w:szCs w:val="21"/>
              </w:rPr>
              <w:t>and</w:t>
            </w:r>
            <w:r>
              <w:rPr>
                <w:rFonts w:eastAsia="Calibri" w:cs="Segoe UI"/>
                <w:sz w:val="21"/>
                <w:szCs w:val="21"/>
              </w:rPr>
              <w:t>,</w:t>
            </w:r>
            <w:proofErr w:type="gramEnd"/>
            <w:r w:rsidRPr="0083460D">
              <w:rPr>
                <w:rFonts w:eastAsia="Calibri" w:cs="Segoe UI"/>
                <w:sz w:val="21"/>
                <w:szCs w:val="21"/>
              </w:rPr>
              <w:t xml:space="preserve"> overall returns are likely to be relatively low. </w:t>
            </w:r>
            <w:r>
              <w:rPr>
                <w:rFonts w:eastAsia="Calibri" w:cs="Segoe UI"/>
                <w:sz w:val="21"/>
                <w:szCs w:val="21"/>
              </w:rPr>
              <w:t>It’s important to note however, r</w:t>
            </w:r>
            <w:r w:rsidRPr="0083460D">
              <w:rPr>
                <w:rFonts w:eastAsia="Calibri" w:cs="Segoe UI"/>
                <w:sz w:val="21"/>
                <w:szCs w:val="21"/>
              </w:rPr>
              <w:t xml:space="preserve">eturns from the </w:t>
            </w:r>
            <w:r>
              <w:rPr>
                <w:rFonts w:eastAsia="Calibri" w:cs="Segoe UI"/>
                <w:sz w:val="21"/>
                <w:szCs w:val="21"/>
              </w:rPr>
              <w:t>portfolio</w:t>
            </w:r>
            <w:r w:rsidRPr="0083460D">
              <w:rPr>
                <w:rFonts w:eastAsia="Calibri" w:cs="Segoe UI"/>
                <w:sz w:val="21"/>
                <w:szCs w:val="21"/>
              </w:rPr>
              <w:t xml:space="preserve"> are not guaranteed and capital loss is possible.</w:t>
            </w:r>
          </w:p>
          <w:p w14:paraId="7B0852D5"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The recommended investment may underperform </w:t>
            </w:r>
            <w:r>
              <w:rPr>
                <w:rFonts w:eastAsia="Calibri" w:cs="Segoe UI"/>
                <w:sz w:val="21"/>
                <w:szCs w:val="21"/>
              </w:rPr>
              <w:t xml:space="preserve">your </w:t>
            </w:r>
            <w:r w:rsidRPr="0083460D">
              <w:rPr>
                <w:rFonts w:eastAsia="Calibri" w:cs="Segoe UI"/>
                <w:sz w:val="21"/>
                <w:szCs w:val="21"/>
              </w:rPr>
              <w:t>existing portfolio.</w:t>
            </w:r>
          </w:p>
          <w:p w14:paraId="095EAC25" w14:textId="77777777" w:rsidR="00BC3FB4" w:rsidRPr="0083460D" w:rsidRDefault="00BC3FB4" w:rsidP="00D008AE">
            <w:pPr>
              <w:numPr>
                <w:ilvl w:val="0"/>
                <w:numId w:val="1"/>
              </w:numPr>
              <w:spacing w:before="120" w:after="120" w:line="276" w:lineRule="auto"/>
              <w:rPr>
                <w:rFonts w:eastAsia="Calibri" w:cs="Segoe UI"/>
                <w:sz w:val="21"/>
                <w:szCs w:val="21"/>
              </w:rPr>
            </w:pPr>
            <w:r>
              <w:rPr>
                <w:rFonts w:eastAsia="Calibri" w:cs="Segoe UI"/>
                <w:sz w:val="21"/>
                <w:szCs w:val="21"/>
              </w:rPr>
              <w:t xml:space="preserve">Investors cannot </w:t>
            </w:r>
            <w:r w:rsidRPr="0083460D">
              <w:rPr>
                <w:rFonts w:eastAsia="Calibri" w:cs="Segoe UI"/>
                <w:sz w:val="21"/>
                <w:szCs w:val="21"/>
              </w:rPr>
              <w:t xml:space="preserve">control financial markets and economic circumstances. Investments with inherent </w:t>
            </w:r>
            <w:r>
              <w:rPr>
                <w:rFonts w:eastAsia="Calibri" w:cs="Segoe UI"/>
                <w:sz w:val="21"/>
                <w:szCs w:val="21"/>
              </w:rPr>
              <w:t>share</w:t>
            </w:r>
            <w:r w:rsidRPr="0083460D">
              <w:rPr>
                <w:rFonts w:eastAsia="Calibri" w:cs="Segoe UI"/>
                <w:sz w:val="21"/>
                <w:szCs w:val="21"/>
              </w:rPr>
              <w:t xml:space="preserve"> </w:t>
            </w:r>
            <w:r>
              <w:rPr>
                <w:rFonts w:eastAsia="Calibri" w:cs="Segoe UI"/>
                <w:sz w:val="21"/>
                <w:szCs w:val="21"/>
              </w:rPr>
              <w:t xml:space="preserve">and property exposures </w:t>
            </w:r>
            <w:r w:rsidRPr="0083460D">
              <w:rPr>
                <w:rFonts w:eastAsia="Calibri" w:cs="Segoe UI"/>
                <w:sz w:val="21"/>
                <w:szCs w:val="21"/>
              </w:rPr>
              <w:t>are volatile by nature as they are not capital guaranteed. The concept of volatility means that investment values can move both up and down. The greater the volatility the more ups and downs. The reward for accepting volatility is likely higher returns over the long term.</w:t>
            </w:r>
          </w:p>
          <w:p w14:paraId="0FFEB72D"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All asset classes, other than cash, will inevitably experience periods of negative returns. This is especially true for growth</w:t>
            </w:r>
            <w:r>
              <w:rPr>
                <w:rFonts w:eastAsia="Calibri" w:cs="Segoe UI"/>
                <w:sz w:val="21"/>
                <w:szCs w:val="21"/>
              </w:rPr>
              <w:t>-</w:t>
            </w:r>
            <w:r w:rsidRPr="0083460D">
              <w:rPr>
                <w:rFonts w:eastAsia="Calibri" w:cs="Segoe UI"/>
                <w:sz w:val="21"/>
                <w:szCs w:val="21"/>
              </w:rPr>
              <w:t xml:space="preserve">oriented investments, </w:t>
            </w:r>
            <w:r w:rsidRPr="0083460D">
              <w:rPr>
                <w:rFonts w:eastAsia="Calibri" w:cs="Segoe UI"/>
                <w:sz w:val="21"/>
                <w:szCs w:val="21"/>
              </w:rPr>
              <w:lastRenderedPageBreak/>
              <w:t xml:space="preserve">such as Australian and International shares and property.  However, no one can predict when negative returns will occur, or their duration. The implication of prolonged periods of negative returns for investors is that it can reduce the number of years that your portfolio will </w:t>
            </w:r>
            <w:proofErr w:type="gramStart"/>
            <w:r w:rsidRPr="0083460D">
              <w:rPr>
                <w:rFonts w:eastAsia="Calibri" w:cs="Segoe UI"/>
                <w:sz w:val="21"/>
                <w:szCs w:val="21"/>
              </w:rPr>
              <w:t>last</w:t>
            </w:r>
            <w:proofErr w:type="gramEnd"/>
            <w:r w:rsidRPr="0083460D">
              <w:rPr>
                <w:rFonts w:eastAsia="Calibri" w:cs="Segoe UI"/>
                <w:sz w:val="21"/>
                <w:szCs w:val="21"/>
              </w:rPr>
              <w:t xml:space="preserve"> or you may need to postpone your retirement.</w:t>
            </w:r>
          </w:p>
          <w:p w14:paraId="39C5E183"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You will realise any investment gains</w:t>
            </w:r>
            <w:r>
              <w:rPr>
                <w:rFonts w:eastAsia="Calibri" w:cs="Segoe UI"/>
                <w:sz w:val="21"/>
                <w:szCs w:val="21"/>
              </w:rPr>
              <w:t xml:space="preserve"> and</w:t>
            </w:r>
            <w:r w:rsidRPr="0083460D">
              <w:rPr>
                <w:rFonts w:eastAsia="Calibri" w:cs="Segoe UI"/>
                <w:sz w:val="21"/>
                <w:szCs w:val="21"/>
              </w:rPr>
              <w:t xml:space="preserve"> </w:t>
            </w:r>
            <w:r>
              <w:rPr>
                <w:rFonts w:eastAsia="Calibri" w:cs="Segoe UI"/>
                <w:sz w:val="21"/>
                <w:szCs w:val="21"/>
              </w:rPr>
              <w:t>t</w:t>
            </w:r>
            <w:r w:rsidRPr="0083460D">
              <w:rPr>
                <w:rFonts w:eastAsia="Calibri" w:cs="Segoe UI"/>
                <w:sz w:val="21"/>
                <w:szCs w:val="21"/>
              </w:rPr>
              <w:t xml:space="preserve">here may be tax payable on the capital gains. We strongly recommend that you confirm your tax </w:t>
            </w:r>
            <w:r>
              <w:rPr>
                <w:rFonts w:eastAsia="Calibri" w:cs="Segoe UI"/>
                <w:sz w:val="21"/>
                <w:szCs w:val="21"/>
              </w:rPr>
              <w:t>position</w:t>
            </w:r>
            <w:r w:rsidRPr="0083460D">
              <w:rPr>
                <w:rFonts w:eastAsia="Calibri" w:cs="Segoe UI"/>
                <w:sz w:val="21"/>
                <w:szCs w:val="21"/>
              </w:rPr>
              <w:t xml:space="preserve"> with your accountant.</w:t>
            </w:r>
          </w:p>
        </w:tc>
      </w:tr>
      <w:tr w:rsidR="00BC3FB4" w:rsidRPr="0083460D" w14:paraId="503A42FB" w14:textId="77777777" w:rsidTr="72091836">
        <w:tc>
          <w:tcPr>
            <w:tcW w:w="998" w:type="pct"/>
            <w:tcBorders>
              <w:top w:val="single" w:sz="4" w:space="0" w:color="C0C0C0"/>
              <w:bottom w:val="single" w:sz="4" w:space="0" w:color="C0C0C0"/>
            </w:tcBorders>
            <w:shd w:val="clear" w:color="auto" w:fill="auto"/>
          </w:tcPr>
          <w:p w14:paraId="16F7D00E"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lastRenderedPageBreak/>
              <w:t>Disadvantages</w:t>
            </w:r>
          </w:p>
        </w:tc>
        <w:tc>
          <w:tcPr>
            <w:tcW w:w="4002" w:type="pct"/>
            <w:tcBorders>
              <w:top w:val="single" w:sz="4" w:space="0" w:color="C0C0C0"/>
              <w:bottom w:val="single" w:sz="4" w:space="0" w:color="C0C0C0"/>
            </w:tcBorders>
            <w:shd w:val="clear" w:color="auto" w:fill="auto"/>
          </w:tcPr>
          <w:p w14:paraId="3BF56541" w14:textId="77777777" w:rsidR="00BC3FB4" w:rsidRPr="0083460D" w:rsidRDefault="00BC3FB4" w:rsidP="00D008AE">
            <w:pPr>
              <w:numPr>
                <w:ilvl w:val="0"/>
                <w:numId w:val="1"/>
              </w:numPr>
              <w:spacing w:before="120" w:after="120" w:line="276" w:lineRule="auto"/>
              <w:rPr>
                <w:rFonts w:eastAsia="Calibri" w:cs="Segoe UI"/>
                <w:sz w:val="21"/>
                <w:szCs w:val="21"/>
              </w:rPr>
            </w:pPr>
            <w:r w:rsidRPr="0015078E">
              <w:rPr>
                <w:rFonts w:eastAsia="Calibri" w:cs="Segoe UI"/>
                <w:sz w:val="21"/>
                <w:szCs w:val="21"/>
              </w:rPr>
              <w:t>As your portfolio has been designed for investors who favour stability of capital and lower volatility, potential returns are also lower than more aggressive portfolios.</w:t>
            </w:r>
          </w:p>
        </w:tc>
      </w:tr>
      <w:tr w:rsidR="00BC3FB4" w:rsidRPr="006C1FD8" w14:paraId="7E352439" w14:textId="77777777" w:rsidTr="72091836">
        <w:tc>
          <w:tcPr>
            <w:tcW w:w="998" w:type="pct"/>
            <w:tcBorders>
              <w:top w:val="single" w:sz="4" w:space="0" w:color="C0C0C0"/>
              <w:bottom w:val="single" w:sz="4" w:space="0" w:color="C0C0C0"/>
            </w:tcBorders>
            <w:shd w:val="clear" w:color="auto" w:fill="auto"/>
          </w:tcPr>
          <w:p w14:paraId="66288540"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t>Other Considerations</w:t>
            </w:r>
          </w:p>
        </w:tc>
        <w:tc>
          <w:tcPr>
            <w:tcW w:w="4002" w:type="pct"/>
            <w:tcBorders>
              <w:top w:val="single" w:sz="4" w:space="0" w:color="C0C0C0"/>
              <w:bottom w:val="single" w:sz="4" w:space="0" w:color="C0C0C0"/>
            </w:tcBorders>
            <w:shd w:val="clear" w:color="auto" w:fill="auto"/>
          </w:tcPr>
          <w:p w14:paraId="3B8CE1EF" w14:textId="65B0B3B1" w:rsidR="00BC3FB4" w:rsidRPr="006C1FD8" w:rsidRDefault="00BC3FB4" w:rsidP="00D008AE">
            <w:pPr>
              <w:numPr>
                <w:ilvl w:val="0"/>
                <w:numId w:val="1"/>
              </w:numPr>
              <w:spacing w:before="120" w:after="120" w:line="276" w:lineRule="auto"/>
              <w:rPr>
                <w:rFonts w:eastAsia="Calibri"/>
                <w:sz w:val="21"/>
                <w:szCs w:val="21"/>
              </w:rPr>
            </w:pPr>
            <w:r w:rsidRPr="006C1FD8">
              <w:rPr>
                <w:rFonts w:eastAsia="Calibri"/>
                <w:sz w:val="21"/>
                <w:szCs w:val="21"/>
              </w:rPr>
              <w:t xml:space="preserve">In general, the Conservative portfolio will hold 85% defensive assets and 15% growth assets; however, the allocations will be actively managed within the allowable ranges depending on market conditions. </w:t>
            </w:r>
          </w:p>
          <w:p w14:paraId="26C46711" w14:textId="2C6A16F0" w:rsidR="00BC3FB4" w:rsidRPr="006C1FD8" w:rsidRDefault="00BC3FB4"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Your portfolio will be managed by Morningstar who have a highly capable global investment team who specialise in asset allocation, quality stock selection and portfolio construction. </w:t>
            </w:r>
          </w:p>
          <w:p w14:paraId="164818DA" w14:textId="3BD2BA2D" w:rsidR="00B228A7" w:rsidRPr="006C1FD8" w:rsidRDefault="00B228A7" w:rsidP="00B228A7">
            <w:pPr>
              <w:numPr>
                <w:ilvl w:val="0"/>
                <w:numId w:val="1"/>
              </w:numPr>
              <w:spacing w:before="120" w:after="120" w:line="276" w:lineRule="auto"/>
              <w:rPr>
                <w:rFonts w:eastAsia="Calibri" w:cs="Segoe UI"/>
                <w:sz w:val="21"/>
                <w:szCs w:val="21"/>
              </w:rPr>
            </w:pPr>
            <w:r w:rsidRPr="006C1FD8">
              <w:rPr>
                <w:rFonts w:eastAsia="Calibri" w:cs="Segoe UI"/>
                <w:sz w:val="21"/>
                <w:szCs w:val="21"/>
              </w:rPr>
              <w:t>In addition, Morningstar Australasia have a global research team, known for their independence, who determine fund ratings on a regular basis.</w:t>
            </w:r>
          </w:p>
          <w:p w14:paraId="62D057CF" w14:textId="3209613B" w:rsidR="00BC3FB4" w:rsidRPr="006C1FD8" w:rsidRDefault="00BC3FB4"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Morningstar’s approach within the </w:t>
            </w:r>
            <w:proofErr w:type="spellStart"/>
            <w:r w:rsidRPr="006C1FD8">
              <w:rPr>
                <w:rFonts w:eastAsia="Calibri" w:cs="Segoe UI"/>
                <w:sz w:val="21"/>
                <w:szCs w:val="21"/>
              </w:rPr>
              <w:t>Medalist</w:t>
            </w:r>
            <w:proofErr w:type="spellEnd"/>
            <w:r w:rsidRPr="006C1FD8">
              <w:rPr>
                <w:rFonts w:eastAsia="Calibri" w:cs="Segoe UI"/>
                <w:sz w:val="21"/>
                <w:szCs w:val="21"/>
              </w:rPr>
              <w:t xml:space="preserve"> Core portfolios </w:t>
            </w:r>
            <w:proofErr w:type="gramStart"/>
            <w:r w:rsidRPr="006C1FD8">
              <w:rPr>
                <w:rFonts w:eastAsia="Calibri" w:cs="Segoe UI"/>
                <w:sz w:val="21"/>
                <w:szCs w:val="21"/>
              </w:rPr>
              <w:t>consider</w:t>
            </w:r>
            <w:proofErr w:type="gramEnd"/>
            <w:r w:rsidRPr="006C1FD8">
              <w:rPr>
                <w:rFonts w:eastAsia="Calibri" w:cs="Segoe UI"/>
                <w:sz w:val="21"/>
                <w:szCs w:val="21"/>
              </w:rPr>
              <w:t xml:space="preserve"> the likelihood of active managers to outperform the market on a regular basis. Where outperformance is unlikely, they invest in passive managers to reduce costs to you.</w:t>
            </w:r>
          </w:p>
          <w:p w14:paraId="7FF2E75A" w14:textId="2208AB58" w:rsidR="00BC3FB4" w:rsidRPr="006C1FD8" w:rsidRDefault="00222FFD" w:rsidP="00D008AE">
            <w:pPr>
              <w:numPr>
                <w:ilvl w:val="0"/>
                <w:numId w:val="1"/>
              </w:numPr>
              <w:spacing w:before="120" w:after="120" w:line="276" w:lineRule="auto"/>
              <w:rPr>
                <w:rFonts w:eastAsia="Calibri" w:cs="Segoe UI"/>
                <w:sz w:val="21"/>
                <w:szCs w:val="21"/>
              </w:rPr>
            </w:pPr>
            <w:r>
              <w:rPr>
                <w:rStyle w:val="ui-provider"/>
              </w:rPr>
              <w:t xml:space="preserve">Morningstar's </w:t>
            </w:r>
            <w:proofErr w:type="spellStart"/>
            <w:r>
              <w:rPr>
                <w:rStyle w:val="ui-provider"/>
              </w:rPr>
              <w:t>Medalist</w:t>
            </w:r>
            <w:proofErr w:type="spellEnd"/>
            <w:r>
              <w:rPr>
                <w:rStyle w:val="ui-provider"/>
              </w:rPr>
              <w:t xml:space="preserve"> Core portfolios are based on research provided by Morningstar Australasia's Fund Research team. Morningstar's Manager research team does not received payments from fund managers to rate their</w:t>
            </w:r>
            <w:r w:rsidR="00BC3FB4" w:rsidRPr="006C1FD8">
              <w:rPr>
                <w:rFonts w:eastAsia="Calibri" w:cs="Segoe UI"/>
                <w:sz w:val="21"/>
                <w:szCs w:val="21"/>
              </w:rPr>
              <w:t>, nor does Morningstar Investment Management use any of their own funds or investment vehicles within these portfolios.</w:t>
            </w:r>
          </w:p>
          <w:p w14:paraId="57B2B777" w14:textId="0BDED303" w:rsidR="007D5F05" w:rsidRPr="006C1FD8" w:rsidRDefault="007D5F05"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To maintain independence, </w:t>
            </w:r>
            <w:r w:rsidR="001E2975" w:rsidRPr="006C1FD8">
              <w:rPr>
                <w:rFonts w:eastAsia="Calibri" w:cs="Segoe UI"/>
                <w:sz w:val="21"/>
                <w:szCs w:val="21"/>
              </w:rPr>
              <w:t>Morningstar Australasia does not provide qualitative research on Morningstar Investment Management Products.</w:t>
            </w:r>
          </w:p>
        </w:tc>
      </w:tr>
    </w:tbl>
    <w:p w14:paraId="60FFA106" w14:textId="77777777" w:rsidR="00BC3FB4" w:rsidRDefault="00BC3FB4">
      <w:pPr>
        <w:rPr>
          <w:rStyle w:val="Strong"/>
          <w:rFonts w:asciiTheme="majorHAnsi" w:eastAsiaTheme="majorEastAsia" w:hAnsiTheme="majorHAnsi" w:cstheme="majorBidi"/>
          <w:b w:val="0"/>
          <w:bCs w:val="0"/>
          <w:color w:val="1F3763" w:themeColor="accent1" w:themeShade="7F"/>
          <w:sz w:val="24"/>
          <w:szCs w:val="24"/>
        </w:rPr>
      </w:pPr>
      <w:r>
        <w:rPr>
          <w:rStyle w:val="Strong"/>
          <w:b w:val="0"/>
          <w:bCs w:val="0"/>
        </w:rPr>
        <w:br w:type="page"/>
      </w:r>
    </w:p>
    <w:p w14:paraId="64719654" w14:textId="76940E18" w:rsidR="00A0504E" w:rsidRPr="00A0504E" w:rsidRDefault="00BC3FB4" w:rsidP="00A0504E">
      <w:pPr>
        <w:pStyle w:val="Heading3"/>
        <w:rPr>
          <w:rStyle w:val="Strong"/>
          <w:b w:val="0"/>
          <w:bCs w:val="0"/>
        </w:rPr>
      </w:pPr>
      <w:bookmarkStart w:id="15" w:name="_Toc130885780"/>
      <w:r>
        <w:rPr>
          <w:rStyle w:val="Strong"/>
          <w:b w:val="0"/>
          <w:bCs w:val="0"/>
        </w:rPr>
        <w:lastRenderedPageBreak/>
        <w:t>Moderate</w:t>
      </w:r>
      <w:r w:rsidR="00A0504E" w:rsidRPr="00A0504E">
        <w:rPr>
          <w:rStyle w:val="Strong"/>
          <w:b w:val="0"/>
          <w:bCs w:val="0"/>
        </w:rPr>
        <w:t xml:space="preserve"> (</w:t>
      </w:r>
      <w:r w:rsidR="00E56275">
        <w:rPr>
          <w:rStyle w:val="Strong"/>
          <w:b w:val="0"/>
          <w:bCs w:val="0"/>
        </w:rPr>
        <w:t>30</w:t>
      </w:r>
      <w:r w:rsidR="00A0504E" w:rsidRPr="00A0504E">
        <w:rPr>
          <w:rStyle w:val="Strong"/>
          <w:b w:val="0"/>
          <w:bCs w:val="0"/>
        </w:rPr>
        <w:t>)</w:t>
      </w:r>
      <w:bookmarkEnd w:id="13"/>
      <w:bookmarkEnd w:id="14"/>
      <w:bookmarkEnd w:id="15"/>
    </w:p>
    <w:tbl>
      <w:tblPr>
        <w:tblW w:w="4988" w:type="pct"/>
        <w:tblLook w:val="0000" w:firstRow="0" w:lastRow="0" w:firstColumn="0" w:lastColumn="0" w:noHBand="0" w:noVBand="0"/>
      </w:tblPr>
      <w:tblGrid>
        <w:gridCol w:w="1797"/>
        <w:gridCol w:w="7207"/>
      </w:tblGrid>
      <w:tr w:rsidR="00A0504E" w:rsidRPr="0083460D" w14:paraId="3DE1A717" w14:textId="77777777" w:rsidTr="00D008AE">
        <w:tc>
          <w:tcPr>
            <w:tcW w:w="998" w:type="pct"/>
            <w:tcBorders>
              <w:top w:val="single" w:sz="4" w:space="0" w:color="C0C0C0"/>
              <w:bottom w:val="single" w:sz="4" w:space="0" w:color="C0C0C0"/>
            </w:tcBorders>
            <w:shd w:val="clear" w:color="auto" w:fill="auto"/>
          </w:tcPr>
          <w:p w14:paraId="74A0FE9C" w14:textId="77777777" w:rsidR="00A0504E" w:rsidRPr="0083460D" w:rsidRDefault="00A0504E" w:rsidP="00D008AE">
            <w:pPr>
              <w:spacing w:before="120" w:after="120" w:line="276" w:lineRule="auto"/>
              <w:rPr>
                <w:sz w:val="21"/>
                <w:szCs w:val="21"/>
              </w:rPr>
            </w:pPr>
            <w:r w:rsidRPr="0083460D">
              <w:rPr>
                <w:b/>
                <w:color w:val="9E9E9E"/>
                <w:sz w:val="21"/>
                <w:szCs w:val="21"/>
              </w:rPr>
              <w:t>Why</w:t>
            </w:r>
          </w:p>
        </w:tc>
        <w:tc>
          <w:tcPr>
            <w:tcW w:w="4002" w:type="pct"/>
            <w:tcBorders>
              <w:top w:val="single" w:sz="4" w:space="0" w:color="C0C0C0"/>
              <w:bottom w:val="single" w:sz="4" w:space="0" w:color="C0C0C0"/>
            </w:tcBorders>
            <w:shd w:val="clear" w:color="auto" w:fill="auto"/>
          </w:tcPr>
          <w:p w14:paraId="5F54AEAA" w14:textId="77777777" w:rsidR="00A0504E" w:rsidRPr="0083460D" w:rsidRDefault="00A0504E" w:rsidP="00A0504E">
            <w:pPr>
              <w:numPr>
                <w:ilvl w:val="0"/>
                <w:numId w:val="1"/>
              </w:numPr>
              <w:spacing w:before="120" w:after="120" w:line="276" w:lineRule="auto"/>
              <w:rPr>
                <w:rFonts w:eastAsia="Calibri"/>
                <w:sz w:val="21"/>
                <w:szCs w:val="21"/>
              </w:rPr>
            </w:pPr>
            <w:r w:rsidRPr="0083460D">
              <w:rPr>
                <w:rFonts w:eastAsia="Calibri"/>
                <w:sz w:val="21"/>
                <w:szCs w:val="21"/>
              </w:rPr>
              <w:t xml:space="preserve">Your desire is to achieve a consistent return by investing in a diversified portfolio of predominately </w:t>
            </w:r>
            <w:r>
              <w:rPr>
                <w:rFonts w:eastAsia="Calibri"/>
                <w:sz w:val="21"/>
                <w:szCs w:val="21"/>
              </w:rPr>
              <w:t>defensive</w:t>
            </w:r>
            <w:r w:rsidRPr="0083460D">
              <w:rPr>
                <w:rFonts w:eastAsia="Calibri"/>
                <w:sz w:val="21"/>
                <w:szCs w:val="21"/>
              </w:rPr>
              <w:t xml:space="preserve"> asset classes, such as cash and fixed interest, with a small proportion of growth assets</w:t>
            </w:r>
            <w:r>
              <w:rPr>
                <w:rFonts w:eastAsia="Calibri"/>
                <w:sz w:val="21"/>
                <w:szCs w:val="21"/>
              </w:rPr>
              <w:t>, like</w:t>
            </w:r>
            <w:r w:rsidRPr="0083460D">
              <w:rPr>
                <w:rFonts w:eastAsia="Calibri"/>
                <w:sz w:val="21"/>
                <w:szCs w:val="21"/>
              </w:rPr>
              <w:t xml:space="preserve"> Australian shares, </w:t>
            </w:r>
            <w:proofErr w:type="gramStart"/>
            <w:r w:rsidRPr="0083460D">
              <w:rPr>
                <w:rFonts w:eastAsia="Calibri"/>
                <w:sz w:val="21"/>
                <w:szCs w:val="21"/>
              </w:rPr>
              <w:t>property</w:t>
            </w:r>
            <w:proofErr w:type="gramEnd"/>
            <w:r w:rsidRPr="0083460D">
              <w:rPr>
                <w:rFonts w:eastAsia="Calibri"/>
                <w:sz w:val="21"/>
                <w:szCs w:val="21"/>
              </w:rPr>
              <w:t xml:space="preserve"> and international shares. </w:t>
            </w:r>
          </w:p>
          <w:p w14:paraId="1CFC0E31" w14:textId="0A671221" w:rsidR="00876E6C" w:rsidRPr="00A0504E" w:rsidRDefault="00876E6C" w:rsidP="00876E6C">
            <w:pPr>
              <w:numPr>
                <w:ilvl w:val="0"/>
                <w:numId w:val="1"/>
              </w:numPr>
              <w:spacing w:before="120" w:after="120" w:line="276" w:lineRule="auto"/>
              <w:rPr>
                <w:rFonts w:eastAsia="Calibri" w:cs="Segoe UI"/>
                <w:sz w:val="21"/>
                <w:szCs w:val="21"/>
              </w:rPr>
            </w:pPr>
            <w:r w:rsidRPr="72091836">
              <w:rPr>
                <w:rFonts w:eastAsia="Calibri"/>
                <w:sz w:val="21"/>
                <w:szCs w:val="21"/>
              </w:rPr>
              <w:t xml:space="preserve">Your portfolio has been constructed with the objective of producing a return that exceeds </w:t>
            </w:r>
            <w:r>
              <w:rPr>
                <w:rFonts w:eastAsia="Calibri"/>
                <w:sz w:val="21"/>
                <w:szCs w:val="21"/>
              </w:rPr>
              <w:t>the portfolio’s composite multi-asset class Moderate benchmark over a rolling 3-year period.</w:t>
            </w:r>
          </w:p>
          <w:p w14:paraId="2445A8CC" w14:textId="295AD585" w:rsidR="005D31B0" w:rsidRDefault="005D31B0" w:rsidP="005D31B0">
            <w:pPr>
              <w:numPr>
                <w:ilvl w:val="0"/>
                <w:numId w:val="1"/>
              </w:numPr>
              <w:spacing w:before="120" w:after="120" w:line="276" w:lineRule="auto"/>
              <w:rPr>
                <w:rFonts w:eastAsia="Calibri"/>
                <w:sz w:val="21"/>
                <w:szCs w:val="21"/>
              </w:rPr>
            </w:pPr>
            <w:r>
              <w:rPr>
                <w:rFonts w:eastAsia="Calibri"/>
                <w:sz w:val="21"/>
                <w:szCs w:val="21"/>
              </w:rPr>
              <w:t>Your</w:t>
            </w:r>
            <w:r w:rsidRPr="00B10C6C">
              <w:rPr>
                <w:rFonts w:eastAsia="Calibri"/>
                <w:sz w:val="21"/>
                <w:szCs w:val="21"/>
              </w:rPr>
              <w:t xml:space="preserve"> portfolio is powered by Morningstar</w:t>
            </w:r>
            <w:r w:rsidR="007F499A">
              <w:rPr>
                <w:rFonts w:eastAsia="Calibri"/>
                <w:sz w:val="21"/>
                <w:szCs w:val="21"/>
              </w:rPr>
              <w:t xml:space="preserve"> Australasia</w:t>
            </w:r>
            <w:r w:rsidRPr="00B10C6C">
              <w:rPr>
                <w:rFonts w:eastAsia="Calibri"/>
                <w:sz w:val="21"/>
                <w:szCs w:val="21"/>
              </w:rPr>
              <w:t xml:space="preserve">’s independent research and portfolio construction capabilities, leveraging </w:t>
            </w:r>
            <w:r>
              <w:rPr>
                <w:rFonts w:eastAsia="Calibri"/>
                <w:sz w:val="21"/>
                <w:szCs w:val="21"/>
              </w:rPr>
              <w:t>their</w:t>
            </w:r>
            <w:r w:rsidRPr="00B10C6C">
              <w:rPr>
                <w:rFonts w:eastAsia="Calibri"/>
                <w:sz w:val="21"/>
                <w:szCs w:val="21"/>
              </w:rPr>
              <w:t xml:space="preserve"> global capabilities and resources.</w:t>
            </w:r>
          </w:p>
          <w:p w14:paraId="050C6AC8" w14:textId="77777777" w:rsidR="0059724C" w:rsidRDefault="0059724C" w:rsidP="005D31B0">
            <w:pPr>
              <w:numPr>
                <w:ilvl w:val="0"/>
                <w:numId w:val="1"/>
              </w:numPr>
              <w:spacing w:before="120" w:after="120" w:line="276" w:lineRule="auto"/>
              <w:rPr>
                <w:rFonts w:eastAsia="Calibri"/>
                <w:sz w:val="21"/>
                <w:szCs w:val="21"/>
              </w:rPr>
            </w:pPr>
            <w:r>
              <w:rPr>
                <w:rFonts w:eastAsia="Calibri"/>
                <w:sz w:val="21"/>
                <w:szCs w:val="21"/>
              </w:rPr>
              <w:t>Your</w:t>
            </w:r>
            <w:r w:rsidRPr="0059724C">
              <w:rPr>
                <w:rFonts w:eastAsia="Calibri"/>
                <w:sz w:val="21"/>
                <w:szCs w:val="21"/>
              </w:rPr>
              <w:t xml:space="preserve"> portfolio has exposure to a diverse mix of managed investments, which include primarily interest-producing and some growth assets. Over the long term, </w:t>
            </w:r>
            <w:r>
              <w:rPr>
                <w:rFonts w:eastAsia="Calibri"/>
                <w:sz w:val="21"/>
                <w:szCs w:val="21"/>
              </w:rPr>
              <w:t>your p</w:t>
            </w:r>
            <w:r w:rsidRPr="0059724C">
              <w:rPr>
                <w:rFonts w:eastAsia="Calibri"/>
                <w:sz w:val="21"/>
                <w:szCs w:val="21"/>
              </w:rPr>
              <w:t xml:space="preserve">ortfolio aims to have a 70% allocation to defensive assets and a 30% allocation to growth assets. </w:t>
            </w:r>
          </w:p>
          <w:p w14:paraId="25F073CF" w14:textId="2A656AAF" w:rsidR="005D31B0" w:rsidRDefault="0059724C" w:rsidP="005D31B0">
            <w:pPr>
              <w:numPr>
                <w:ilvl w:val="0"/>
                <w:numId w:val="1"/>
              </w:numPr>
              <w:spacing w:before="120" w:after="120" w:line="276" w:lineRule="auto"/>
              <w:rPr>
                <w:rFonts w:eastAsia="Calibri"/>
                <w:sz w:val="21"/>
                <w:szCs w:val="21"/>
              </w:rPr>
            </w:pPr>
            <w:r>
              <w:rPr>
                <w:rFonts w:eastAsia="Calibri"/>
                <w:sz w:val="21"/>
                <w:szCs w:val="21"/>
              </w:rPr>
              <w:t>Your</w:t>
            </w:r>
            <w:r w:rsidRPr="0059724C">
              <w:rPr>
                <w:rFonts w:eastAsia="Calibri"/>
                <w:sz w:val="21"/>
                <w:szCs w:val="21"/>
              </w:rPr>
              <w:t xml:space="preserve"> </w:t>
            </w:r>
            <w:r>
              <w:rPr>
                <w:rFonts w:eastAsia="Calibri"/>
                <w:sz w:val="21"/>
                <w:szCs w:val="21"/>
              </w:rPr>
              <w:t>p</w:t>
            </w:r>
            <w:r w:rsidRPr="0059724C">
              <w:rPr>
                <w:rFonts w:eastAsia="Calibri"/>
                <w:sz w:val="21"/>
                <w:szCs w:val="21"/>
              </w:rPr>
              <w:t>ortfolio aims to reduce the probability of a significant negative return through exposure to defensive asset classes.</w:t>
            </w:r>
          </w:p>
          <w:p w14:paraId="14978D81" w14:textId="00040CA5" w:rsidR="005D31B0" w:rsidRDefault="005D31B0" w:rsidP="005D31B0">
            <w:pPr>
              <w:numPr>
                <w:ilvl w:val="0"/>
                <w:numId w:val="1"/>
              </w:numPr>
              <w:spacing w:before="120" w:after="120" w:line="276" w:lineRule="auto"/>
              <w:rPr>
                <w:rFonts w:eastAsia="Calibri"/>
                <w:sz w:val="21"/>
                <w:szCs w:val="21"/>
              </w:rPr>
            </w:pPr>
            <w:r>
              <w:rPr>
                <w:rFonts w:eastAsia="Calibri"/>
                <w:sz w:val="21"/>
                <w:szCs w:val="21"/>
              </w:rPr>
              <w:t>Your portfolio will be managed by Morningstar Investment Management, using third-party fund managers who are amongst Morningstar</w:t>
            </w:r>
            <w:r w:rsidR="007F499A">
              <w:rPr>
                <w:rFonts w:eastAsia="Calibri"/>
                <w:sz w:val="21"/>
                <w:szCs w:val="21"/>
              </w:rPr>
              <w:t xml:space="preserve"> Australasia</w:t>
            </w:r>
            <w:r>
              <w:rPr>
                <w:rFonts w:eastAsia="Calibri"/>
                <w:sz w:val="21"/>
                <w:szCs w:val="21"/>
              </w:rPr>
              <w:t>’s highest rated according to their independent research.</w:t>
            </w:r>
          </w:p>
          <w:p w14:paraId="151C39A9" w14:textId="77777777" w:rsidR="005D31B0" w:rsidRDefault="005D31B0" w:rsidP="005D31B0">
            <w:pPr>
              <w:numPr>
                <w:ilvl w:val="0"/>
                <w:numId w:val="1"/>
              </w:numPr>
              <w:spacing w:before="120" w:after="120" w:line="276" w:lineRule="auto"/>
              <w:rPr>
                <w:rFonts w:eastAsia="Calibri"/>
                <w:sz w:val="21"/>
                <w:szCs w:val="21"/>
              </w:rPr>
            </w:pPr>
            <w:r w:rsidRPr="72091836">
              <w:rPr>
                <w:rFonts w:eastAsia="Calibri"/>
                <w:sz w:val="21"/>
                <w:szCs w:val="21"/>
              </w:rPr>
              <w:t>The investment style of your portfolio has been optimised according to the probability of achieving the best performance for the lowest cost.</w:t>
            </w:r>
            <w:r>
              <w:rPr>
                <w:rFonts w:eastAsia="Calibri"/>
                <w:sz w:val="21"/>
                <w:szCs w:val="21"/>
              </w:rPr>
              <w:t xml:space="preserve"> </w:t>
            </w:r>
            <w:r w:rsidRPr="72091836">
              <w:rPr>
                <w:rFonts w:eastAsia="Calibri"/>
                <w:sz w:val="21"/>
                <w:szCs w:val="21"/>
              </w:rPr>
              <w:t xml:space="preserve">Where the likelihood of outperformance of the market is high, you will have an allocation to active managers, where this is low, you will have an allocation to passive managers. </w:t>
            </w:r>
          </w:p>
          <w:p w14:paraId="05B2F806" w14:textId="76DCD588" w:rsidR="00E56275" w:rsidRPr="00E56275" w:rsidRDefault="005D31B0" w:rsidP="005D31B0">
            <w:pPr>
              <w:numPr>
                <w:ilvl w:val="0"/>
                <w:numId w:val="1"/>
              </w:numPr>
              <w:spacing w:before="120" w:after="120" w:line="276" w:lineRule="auto"/>
              <w:rPr>
                <w:rFonts w:eastAsia="Calibri"/>
                <w:sz w:val="21"/>
                <w:szCs w:val="21"/>
              </w:rPr>
            </w:pPr>
            <w:r>
              <w:rPr>
                <w:rFonts w:eastAsia="Calibri"/>
                <w:sz w:val="21"/>
                <w:szCs w:val="21"/>
              </w:rPr>
              <w:t xml:space="preserve">The underlying </w:t>
            </w:r>
            <w:r w:rsidRPr="0078496C">
              <w:rPr>
                <w:rFonts w:eastAsia="Calibri"/>
                <w:sz w:val="21"/>
                <w:szCs w:val="21"/>
              </w:rPr>
              <w:t xml:space="preserve">fund managers, their funds and the construction of </w:t>
            </w:r>
            <w:r>
              <w:rPr>
                <w:rFonts w:eastAsia="Calibri"/>
                <w:sz w:val="21"/>
                <w:szCs w:val="21"/>
              </w:rPr>
              <w:t>your</w:t>
            </w:r>
            <w:r w:rsidRPr="0078496C">
              <w:rPr>
                <w:rFonts w:eastAsia="Calibri"/>
                <w:sz w:val="21"/>
                <w:szCs w:val="21"/>
              </w:rPr>
              <w:t xml:space="preserve"> </w:t>
            </w:r>
            <w:r>
              <w:rPr>
                <w:rFonts w:eastAsia="Calibri"/>
                <w:sz w:val="21"/>
                <w:szCs w:val="21"/>
              </w:rPr>
              <w:t>p</w:t>
            </w:r>
            <w:r w:rsidRPr="0078496C">
              <w:rPr>
                <w:rFonts w:eastAsia="Calibri"/>
                <w:sz w:val="21"/>
                <w:szCs w:val="21"/>
              </w:rPr>
              <w:t xml:space="preserve">ortfolio </w:t>
            </w:r>
            <w:r>
              <w:rPr>
                <w:rFonts w:eastAsia="Calibri"/>
                <w:sz w:val="21"/>
                <w:szCs w:val="21"/>
              </w:rPr>
              <w:t>are</w:t>
            </w:r>
            <w:r w:rsidRPr="0078496C">
              <w:rPr>
                <w:rFonts w:eastAsia="Calibri"/>
                <w:sz w:val="21"/>
                <w:szCs w:val="21"/>
              </w:rPr>
              <w:t xml:space="preserve"> regularly reviewed for suitability and market conditions.</w:t>
            </w:r>
          </w:p>
        </w:tc>
      </w:tr>
      <w:tr w:rsidR="00A0504E" w:rsidRPr="0083460D" w14:paraId="77A45A07" w14:textId="77777777" w:rsidTr="00D008AE">
        <w:tc>
          <w:tcPr>
            <w:tcW w:w="998" w:type="pct"/>
            <w:tcBorders>
              <w:top w:val="single" w:sz="4" w:space="0" w:color="C0C0C0"/>
              <w:bottom w:val="single" w:sz="4" w:space="0" w:color="C0C0C0"/>
            </w:tcBorders>
            <w:shd w:val="clear" w:color="auto" w:fill="auto"/>
          </w:tcPr>
          <w:p w14:paraId="14D3FDF1" w14:textId="77777777" w:rsidR="00A0504E" w:rsidRPr="0083460D" w:rsidRDefault="00A0504E" w:rsidP="00D008AE">
            <w:pPr>
              <w:spacing w:before="120" w:after="120" w:line="276" w:lineRule="auto"/>
              <w:rPr>
                <w:b/>
                <w:color w:val="9E9E9E"/>
                <w:sz w:val="21"/>
                <w:szCs w:val="21"/>
              </w:rPr>
            </w:pPr>
            <w:r w:rsidRPr="0083460D">
              <w:rPr>
                <w:sz w:val="21"/>
                <w:szCs w:val="21"/>
              </w:rPr>
              <w:br w:type="page"/>
            </w:r>
            <w:r w:rsidRPr="0083460D">
              <w:rPr>
                <w:b/>
                <w:color w:val="9E9E9E"/>
                <w:sz w:val="21"/>
                <w:szCs w:val="21"/>
              </w:rPr>
              <w:t>Risks</w:t>
            </w:r>
          </w:p>
        </w:tc>
        <w:tc>
          <w:tcPr>
            <w:tcW w:w="4002" w:type="pct"/>
            <w:tcBorders>
              <w:top w:val="single" w:sz="4" w:space="0" w:color="C0C0C0"/>
              <w:bottom w:val="single" w:sz="4" w:space="0" w:color="C0C0C0"/>
            </w:tcBorders>
            <w:shd w:val="clear" w:color="auto" w:fill="auto"/>
          </w:tcPr>
          <w:p w14:paraId="23C1BF33" w14:textId="500BF8AA" w:rsidR="00A0504E" w:rsidRPr="0083460D" w:rsidRDefault="00A0504E" w:rsidP="00A0504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A </w:t>
            </w:r>
            <w:r>
              <w:rPr>
                <w:rFonts w:eastAsia="Calibri" w:cs="Segoe UI"/>
                <w:sz w:val="21"/>
                <w:szCs w:val="21"/>
              </w:rPr>
              <w:t>low</w:t>
            </w:r>
            <w:r w:rsidRPr="0083460D">
              <w:rPr>
                <w:rFonts w:eastAsia="Calibri" w:cs="Segoe UI"/>
                <w:sz w:val="21"/>
                <w:szCs w:val="21"/>
              </w:rPr>
              <w:t xml:space="preserve"> level of volatility can be expected from time to time</w:t>
            </w:r>
            <w:r w:rsidR="001C74DA">
              <w:rPr>
                <w:rFonts w:eastAsia="Calibri" w:cs="Segoe UI"/>
                <w:sz w:val="21"/>
                <w:szCs w:val="21"/>
              </w:rPr>
              <w:t>,</w:t>
            </w:r>
            <w:r w:rsidRPr="0083460D">
              <w:rPr>
                <w:rFonts w:eastAsia="Calibri" w:cs="Segoe UI"/>
                <w:sz w:val="21"/>
                <w:szCs w:val="21"/>
              </w:rPr>
              <w:t xml:space="preserve"> </w:t>
            </w:r>
            <w:proofErr w:type="gramStart"/>
            <w:r w:rsidRPr="0083460D">
              <w:rPr>
                <w:rFonts w:eastAsia="Calibri" w:cs="Segoe UI"/>
                <w:sz w:val="21"/>
                <w:szCs w:val="21"/>
              </w:rPr>
              <w:t>and</w:t>
            </w:r>
            <w:r w:rsidR="001C74DA">
              <w:rPr>
                <w:rFonts w:eastAsia="Calibri" w:cs="Segoe UI"/>
                <w:sz w:val="21"/>
                <w:szCs w:val="21"/>
              </w:rPr>
              <w:t>,</w:t>
            </w:r>
            <w:proofErr w:type="gramEnd"/>
            <w:r w:rsidRPr="0083460D">
              <w:rPr>
                <w:rFonts w:eastAsia="Calibri" w:cs="Segoe UI"/>
                <w:sz w:val="21"/>
                <w:szCs w:val="21"/>
              </w:rPr>
              <w:t xml:space="preserve"> overall returns are likely to be relatively low. </w:t>
            </w:r>
            <w:r>
              <w:rPr>
                <w:rFonts w:eastAsia="Calibri" w:cs="Segoe UI"/>
                <w:sz w:val="21"/>
                <w:szCs w:val="21"/>
              </w:rPr>
              <w:t>It’s important to note however, r</w:t>
            </w:r>
            <w:r w:rsidRPr="0083460D">
              <w:rPr>
                <w:rFonts w:eastAsia="Calibri" w:cs="Segoe UI"/>
                <w:sz w:val="21"/>
                <w:szCs w:val="21"/>
              </w:rPr>
              <w:t xml:space="preserve">eturns from the </w:t>
            </w:r>
            <w:r>
              <w:rPr>
                <w:rFonts w:eastAsia="Calibri" w:cs="Segoe UI"/>
                <w:sz w:val="21"/>
                <w:szCs w:val="21"/>
              </w:rPr>
              <w:t>portfolio</w:t>
            </w:r>
            <w:r w:rsidRPr="0083460D">
              <w:rPr>
                <w:rFonts w:eastAsia="Calibri" w:cs="Segoe UI"/>
                <w:sz w:val="21"/>
                <w:szCs w:val="21"/>
              </w:rPr>
              <w:t xml:space="preserve"> are not guaranteed and capital loss is possible.</w:t>
            </w:r>
          </w:p>
          <w:p w14:paraId="5AD0C74A" w14:textId="77777777" w:rsidR="00A0504E" w:rsidRPr="0083460D" w:rsidRDefault="00A0504E" w:rsidP="00A0504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The recommended investment may underperform </w:t>
            </w:r>
            <w:r>
              <w:rPr>
                <w:rFonts w:eastAsia="Calibri" w:cs="Segoe UI"/>
                <w:sz w:val="21"/>
                <w:szCs w:val="21"/>
              </w:rPr>
              <w:t xml:space="preserve">your </w:t>
            </w:r>
            <w:r w:rsidRPr="0083460D">
              <w:rPr>
                <w:rFonts w:eastAsia="Calibri" w:cs="Segoe UI"/>
                <w:sz w:val="21"/>
                <w:szCs w:val="21"/>
              </w:rPr>
              <w:t>existing portfolio.</w:t>
            </w:r>
          </w:p>
          <w:p w14:paraId="167A51D4" w14:textId="77777777" w:rsidR="00A0504E" w:rsidRPr="0083460D" w:rsidRDefault="00A0504E" w:rsidP="00A0504E">
            <w:pPr>
              <w:numPr>
                <w:ilvl w:val="0"/>
                <w:numId w:val="1"/>
              </w:numPr>
              <w:spacing w:before="120" w:after="120" w:line="276" w:lineRule="auto"/>
              <w:rPr>
                <w:rFonts w:eastAsia="Calibri" w:cs="Segoe UI"/>
                <w:sz w:val="21"/>
                <w:szCs w:val="21"/>
              </w:rPr>
            </w:pPr>
            <w:r>
              <w:rPr>
                <w:rFonts w:eastAsia="Calibri" w:cs="Segoe UI"/>
                <w:sz w:val="21"/>
                <w:szCs w:val="21"/>
              </w:rPr>
              <w:t xml:space="preserve">Investors cannot </w:t>
            </w:r>
            <w:r w:rsidRPr="0083460D">
              <w:rPr>
                <w:rFonts w:eastAsia="Calibri" w:cs="Segoe UI"/>
                <w:sz w:val="21"/>
                <w:szCs w:val="21"/>
              </w:rPr>
              <w:t xml:space="preserve">control financial markets and economic circumstances. Investments with inherent </w:t>
            </w:r>
            <w:r>
              <w:rPr>
                <w:rFonts w:eastAsia="Calibri" w:cs="Segoe UI"/>
                <w:sz w:val="21"/>
                <w:szCs w:val="21"/>
              </w:rPr>
              <w:t>share</w:t>
            </w:r>
            <w:r w:rsidRPr="0083460D">
              <w:rPr>
                <w:rFonts w:eastAsia="Calibri" w:cs="Segoe UI"/>
                <w:sz w:val="21"/>
                <w:szCs w:val="21"/>
              </w:rPr>
              <w:t xml:space="preserve"> </w:t>
            </w:r>
            <w:r>
              <w:rPr>
                <w:rFonts w:eastAsia="Calibri" w:cs="Segoe UI"/>
                <w:sz w:val="21"/>
                <w:szCs w:val="21"/>
              </w:rPr>
              <w:t xml:space="preserve">and property exposures </w:t>
            </w:r>
            <w:r w:rsidRPr="0083460D">
              <w:rPr>
                <w:rFonts w:eastAsia="Calibri" w:cs="Segoe UI"/>
                <w:sz w:val="21"/>
                <w:szCs w:val="21"/>
              </w:rPr>
              <w:t>are volatile by nature as they are not capital guaranteed. The concept of volatility means that investment values can move both up and down. The greater the volatility the more ups and downs. The reward for accepting volatility is likely higher returns over the long term.</w:t>
            </w:r>
          </w:p>
          <w:p w14:paraId="6DA1F3BA" w14:textId="74B95037" w:rsidR="00A0504E" w:rsidRPr="0083460D" w:rsidRDefault="00A0504E" w:rsidP="00A0504E">
            <w:pPr>
              <w:numPr>
                <w:ilvl w:val="0"/>
                <w:numId w:val="1"/>
              </w:numPr>
              <w:spacing w:before="120" w:after="120" w:line="276" w:lineRule="auto"/>
              <w:rPr>
                <w:rFonts w:eastAsia="Calibri" w:cs="Segoe UI"/>
                <w:sz w:val="21"/>
                <w:szCs w:val="21"/>
              </w:rPr>
            </w:pPr>
            <w:r w:rsidRPr="0083460D">
              <w:rPr>
                <w:rFonts w:eastAsia="Calibri" w:cs="Segoe UI"/>
                <w:sz w:val="21"/>
                <w:szCs w:val="21"/>
              </w:rPr>
              <w:t>All asset classes, other than cash, will inevitably experience periods of negative returns. This is especially true for growth</w:t>
            </w:r>
            <w:r w:rsidR="00E56275">
              <w:rPr>
                <w:rFonts w:eastAsia="Calibri" w:cs="Segoe UI"/>
                <w:sz w:val="21"/>
                <w:szCs w:val="21"/>
              </w:rPr>
              <w:t>-</w:t>
            </w:r>
            <w:r w:rsidRPr="0083460D">
              <w:rPr>
                <w:rFonts w:eastAsia="Calibri" w:cs="Segoe UI"/>
                <w:sz w:val="21"/>
                <w:szCs w:val="21"/>
              </w:rPr>
              <w:t xml:space="preserve">oriented investments, such as Australian and International shares and property.  However, no </w:t>
            </w:r>
            <w:r w:rsidRPr="0083460D">
              <w:rPr>
                <w:rFonts w:eastAsia="Calibri" w:cs="Segoe UI"/>
                <w:sz w:val="21"/>
                <w:szCs w:val="21"/>
              </w:rPr>
              <w:lastRenderedPageBreak/>
              <w:t xml:space="preserve">one can predict when negative returns will occur, or their duration. The implication of prolonged periods of negative returns for investors is that it can reduce the number of years that your portfolio will </w:t>
            </w:r>
            <w:proofErr w:type="gramStart"/>
            <w:r w:rsidRPr="0083460D">
              <w:rPr>
                <w:rFonts w:eastAsia="Calibri" w:cs="Segoe UI"/>
                <w:sz w:val="21"/>
                <w:szCs w:val="21"/>
              </w:rPr>
              <w:t>last</w:t>
            </w:r>
            <w:proofErr w:type="gramEnd"/>
            <w:r w:rsidRPr="0083460D">
              <w:rPr>
                <w:rFonts w:eastAsia="Calibri" w:cs="Segoe UI"/>
                <w:sz w:val="21"/>
                <w:szCs w:val="21"/>
              </w:rPr>
              <w:t xml:space="preserve"> or you may need to postpone your retirement.</w:t>
            </w:r>
          </w:p>
          <w:p w14:paraId="79100BDF" w14:textId="77777777" w:rsidR="00A0504E" w:rsidRPr="0083460D" w:rsidRDefault="00A0504E" w:rsidP="00A0504E">
            <w:pPr>
              <w:numPr>
                <w:ilvl w:val="0"/>
                <w:numId w:val="1"/>
              </w:numPr>
              <w:spacing w:before="120" w:after="120" w:line="276" w:lineRule="auto"/>
              <w:rPr>
                <w:rFonts w:eastAsia="Calibri" w:cs="Segoe UI"/>
                <w:sz w:val="21"/>
                <w:szCs w:val="21"/>
              </w:rPr>
            </w:pPr>
            <w:r w:rsidRPr="0083460D">
              <w:rPr>
                <w:rFonts w:eastAsia="Calibri" w:cs="Segoe UI"/>
                <w:sz w:val="21"/>
                <w:szCs w:val="21"/>
              </w:rPr>
              <w:t>You will realise any investment gains</w:t>
            </w:r>
            <w:r>
              <w:rPr>
                <w:rFonts w:eastAsia="Calibri" w:cs="Segoe UI"/>
                <w:sz w:val="21"/>
                <w:szCs w:val="21"/>
              </w:rPr>
              <w:t xml:space="preserve"> and</w:t>
            </w:r>
            <w:r w:rsidRPr="0083460D">
              <w:rPr>
                <w:rFonts w:eastAsia="Calibri" w:cs="Segoe UI"/>
                <w:sz w:val="21"/>
                <w:szCs w:val="21"/>
              </w:rPr>
              <w:t xml:space="preserve"> </w:t>
            </w:r>
            <w:r>
              <w:rPr>
                <w:rFonts w:eastAsia="Calibri" w:cs="Segoe UI"/>
                <w:sz w:val="21"/>
                <w:szCs w:val="21"/>
              </w:rPr>
              <w:t>t</w:t>
            </w:r>
            <w:r w:rsidRPr="0083460D">
              <w:rPr>
                <w:rFonts w:eastAsia="Calibri" w:cs="Segoe UI"/>
                <w:sz w:val="21"/>
                <w:szCs w:val="21"/>
              </w:rPr>
              <w:t xml:space="preserve">here may be tax payable on the capital gains. We strongly recommend that you confirm your tax </w:t>
            </w:r>
            <w:r>
              <w:rPr>
                <w:rFonts w:eastAsia="Calibri" w:cs="Segoe UI"/>
                <w:sz w:val="21"/>
                <w:szCs w:val="21"/>
              </w:rPr>
              <w:t>position</w:t>
            </w:r>
            <w:r w:rsidRPr="0083460D">
              <w:rPr>
                <w:rFonts w:eastAsia="Calibri" w:cs="Segoe UI"/>
                <w:sz w:val="21"/>
                <w:szCs w:val="21"/>
              </w:rPr>
              <w:t xml:space="preserve"> with your accountant.</w:t>
            </w:r>
          </w:p>
        </w:tc>
      </w:tr>
      <w:tr w:rsidR="00A0504E" w:rsidRPr="0083460D" w14:paraId="6498E4B6" w14:textId="77777777" w:rsidTr="00D008AE">
        <w:tc>
          <w:tcPr>
            <w:tcW w:w="998" w:type="pct"/>
            <w:tcBorders>
              <w:top w:val="single" w:sz="4" w:space="0" w:color="C0C0C0"/>
              <w:bottom w:val="single" w:sz="4" w:space="0" w:color="C0C0C0"/>
            </w:tcBorders>
            <w:shd w:val="clear" w:color="auto" w:fill="auto"/>
          </w:tcPr>
          <w:p w14:paraId="771EADA9" w14:textId="77777777" w:rsidR="00A0504E" w:rsidRPr="0083460D" w:rsidRDefault="00A0504E" w:rsidP="00D008AE">
            <w:pPr>
              <w:spacing w:before="120" w:after="120" w:line="276" w:lineRule="auto"/>
              <w:rPr>
                <w:b/>
                <w:color w:val="9E9E9E"/>
                <w:sz w:val="21"/>
                <w:szCs w:val="21"/>
              </w:rPr>
            </w:pPr>
            <w:r w:rsidRPr="0083460D">
              <w:rPr>
                <w:b/>
                <w:color w:val="9E9E9E"/>
                <w:sz w:val="21"/>
                <w:szCs w:val="21"/>
              </w:rPr>
              <w:lastRenderedPageBreak/>
              <w:t>Disadvantages</w:t>
            </w:r>
          </w:p>
        </w:tc>
        <w:tc>
          <w:tcPr>
            <w:tcW w:w="4002" w:type="pct"/>
            <w:tcBorders>
              <w:top w:val="single" w:sz="4" w:space="0" w:color="C0C0C0"/>
              <w:bottom w:val="single" w:sz="4" w:space="0" w:color="C0C0C0"/>
            </w:tcBorders>
            <w:shd w:val="clear" w:color="auto" w:fill="auto"/>
          </w:tcPr>
          <w:p w14:paraId="6EF9149E" w14:textId="77777777" w:rsidR="00A0504E" w:rsidRPr="0083460D" w:rsidRDefault="00A0504E" w:rsidP="00A0504E">
            <w:pPr>
              <w:numPr>
                <w:ilvl w:val="0"/>
                <w:numId w:val="1"/>
              </w:numPr>
              <w:spacing w:before="120" w:after="120" w:line="276" w:lineRule="auto"/>
              <w:rPr>
                <w:rFonts w:eastAsia="Calibri" w:cs="Segoe UI"/>
                <w:sz w:val="21"/>
                <w:szCs w:val="21"/>
              </w:rPr>
            </w:pPr>
            <w:r w:rsidRPr="0015078E">
              <w:rPr>
                <w:rFonts w:eastAsia="Calibri" w:cs="Segoe UI"/>
                <w:sz w:val="21"/>
                <w:szCs w:val="21"/>
              </w:rPr>
              <w:t>As your portfolio has been designed for investors who favour stability of capital and lower volatility, potential returns are also lower than more aggressive portfolios.</w:t>
            </w:r>
          </w:p>
        </w:tc>
      </w:tr>
      <w:tr w:rsidR="00A0504E" w:rsidRPr="006C1FD8" w14:paraId="1686E8A1" w14:textId="77777777" w:rsidTr="00D008AE">
        <w:tc>
          <w:tcPr>
            <w:tcW w:w="998" w:type="pct"/>
            <w:tcBorders>
              <w:top w:val="single" w:sz="4" w:space="0" w:color="C0C0C0"/>
              <w:bottom w:val="single" w:sz="4" w:space="0" w:color="C0C0C0"/>
            </w:tcBorders>
            <w:shd w:val="clear" w:color="auto" w:fill="auto"/>
          </w:tcPr>
          <w:p w14:paraId="588B08EF" w14:textId="77777777" w:rsidR="00A0504E" w:rsidRPr="0083460D" w:rsidRDefault="00A0504E" w:rsidP="00D008AE">
            <w:pPr>
              <w:spacing w:before="120" w:after="120" w:line="276" w:lineRule="auto"/>
              <w:rPr>
                <w:b/>
                <w:color w:val="9E9E9E"/>
                <w:sz w:val="21"/>
                <w:szCs w:val="21"/>
              </w:rPr>
            </w:pPr>
            <w:r w:rsidRPr="0083460D">
              <w:rPr>
                <w:b/>
                <w:color w:val="9E9E9E"/>
                <w:sz w:val="21"/>
                <w:szCs w:val="21"/>
              </w:rPr>
              <w:t>Other Considerations</w:t>
            </w:r>
          </w:p>
        </w:tc>
        <w:tc>
          <w:tcPr>
            <w:tcW w:w="4002" w:type="pct"/>
            <w:tcBorders>
              <w:top w:val="single" w:sz="4" w:space="0" w:color="C0C0C0"/>
              <w:bottom w:val="single" w:sz="4" w:space="0" w:color="C0C0C0"/>
            </w:tcBorders>
            <w:shd w:val="clear" w:color="auto" w:fill="auto"/>
          </w:tcPr>
          <w:p w14:paraId="68E2AB76" w14:textId="0F10C63A" w:rsidR="00A0504E" w:rsidRPr="006C1FD8" w:rsidRDefault="00A0504E" w:rsidP="00A0504E">
            <w:pPr>
              <w:numPr>
                <w:ilvl w:val="0"/>
                <w:numId w:val="1"/>
              </w:numPr>
              <w:spacing w:before="120" w:after="120" w:line="276" w:lineRule="auto"/>
              <w:rPr>
                <w:rFonts w:eastAsia="Calibri"/>
                <w:sz w:val="21"/>
                <w:szCs w:val="21"/>
              </w:rPr>
            </w:pPr>
            <w:r w:rsidRPr="006C1FD8">
              <w:rPr>
                <w:rFonts w:eastAsia="Calibri"/>
                <w:sz w:val="21"/>
                <w:szCs w:val="21"/>
              </w:rPr>
              <w:t xml:space="preserve">In general, the Conservative portfolio will hold </w:t>
            </w:r>
            <w:r w:rsidR="00E56275" w:rsidRPr="006C1FD8">
              <w:rPr>
                <w:rFonts w:eastAsia="Calibri"/>
                <w:sz w:val="21"/>
                <w:szCs w:val="21"/>
              </w:rPr>
              <w:t>70</w:t>
            </w:r>
            <w:r w:rsidRPr="006C1FD8">
              <w:rPr>
                <w:rFonts w:eastAsia="Calibri"/>
                <w:sz w:val="21"/>
                <w:szCs w:val="21"/>
              </w:rPr>
              <w:t xml:space="preserve">% defensive assets and </w:t>
            </w:r>
            <w:r w:rsidR="00E56275" w:rsidRPr="006C1FD8">
              <w:rPr>
                <w:rFonts w:eastAsia="Calibri"/>
                <w:sz w:val="21"/>
                <w:szCs w:val="21"/>
              </w:rPr>
              <w:t>30</w:t>
            </w:r>
            <w:r w:rsidRPr="006C1FD8">
              <w:rPr>
                <w:rFonts w:eastAsia="Calibri"/>
                <w:sz w:val="21"/>
                <w:szCs w:val="21"/>
              </w:rPr>
              <w:t xml:space="preserve">% growth assets; however, the allocations will be actively managed within the allowable ranges depending on market conditions. </w:t>
            </w:r>
          </w:p>
          <w:p w14:paraId="77199F17" w14:textId="77777777" w:rsidR="00B228A7" w:rsidRPr="006C1FD8" w:rsidRDefault="00A0504E" w:rsidP="00A0504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Your portfolio will be managed by Morningstar who have a highly capable global investment team who specialise in asset allocation, quality stock selection and portfolio construction. </w:t>
            </w:r>
          </w:p>
          <w:p w14:paraId="5AD8CA9F" w14:textId="143D7EE2" w:rsidR="00A0504E" w:rsidRPr="006C1FD8" w:rsidRDefault="00B228A7" w:rsidP="00B228A7">
            <w:pPr>
              <w:numPr>
                <w:ilvl w:val="0"/>
                <w:numId w:val="1"/>
              </w:numPr>
              <w:spacing w:before="120" w:after="120" w:line="276" w:lineRule="auto"/>
              <w:rPr>
                <w:rFonts w:eastAsia="Calibri" w:cs="Segoe UI"/>
                <w:sz w:val="21"/>
                <w:szCs w:val="21"/>
              </w:rPr>
            </w:pPr>
            <w:r w:rsidRPr="006C1FD8">
              <w:rPr>
                <w:rFonts w:eastAsia="Calibri" w:cs="Segoe UI"/>
                <w:sz w:val="21"/>
                <w:szCs w:val="21"/>
              </w:rPr>
              <w:t>In addition, Morningstar Australasia have a global research team, known for their independence, who determine fund ratings on a regular basis.</w:t>
            </w:r>
          </w:p>
          <w:p w14:paraId="11ACC68E" w14:textId="77777777" w:rsidR="00EB0F1C" w:rsidRPr="006C1FD8" w:rsidRDefault="00EB0F1C"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Morningstar’s approach within the </w:t>
            </w:r>
            <w:proofErr w:type="spellStart"/>
            <w:r w:rsidRPr="006C1FD8">
              <w:rPr>
                <w:rFonts w:eastAsia="Calibri" w:cs="Segoe UI"/>
                <w:sz w:val="21"/>
                <w:szCs w:val="21"/>
              </w:rPr>
              <w:t>Medalist</w:t>
            </w:r>
            <w:proofErr w:type="spellEnd"/>
            <w:r w:rsidRPr="006C1FD8">
              <w:rPr>
                <w:rFonts w:eastAsia="Calibri" w:cs="Segoe UI"/>
                <w:sz w:val="21"/>
                <w:szCs w:val="21"/>
              </w:rPr>
              <w:t xml:space="preserve"> Core portfolios </w:t>
            </w:r>
            <w:proofErr w:type="gramStart"/>
            <w:r w:rsidRPr="006C1FD8">
              <w:rPr>
                <w:rFonts w:eastAsia="Calibri" w:cs="Segoe UI"/>
                <w:sz w:val="21"/>
                <w:szCs w:val="21"/>
              </w:rPr>
              <w:t>consider</w:t>
            </w:r>
            <w:proofErr w:type="gramEnd"/>
            <w:r w:rsidRPr="006C1FD8">
              <w:rPr>
                <w:rFonts w:eastAsia="Calibri" w:cs="Segoe UI"/>
                <w:sz w:val="21"/>
                <w:szCs w:val="21"/>
              </w:rPr>
              <w:t xml:space="preserve"> the likelihood of active managers to outperform the market on a regular basis. Where outperformance is unlikely, they invest in passive managers to reduce costs to you.</w:t>
            </w:r>
          </w:p>
          <w:p w14:paraId="62B6C785" w14:textId="77777777" w:rsidR="00222FFD" w:rsidRPr="006C1FD8" w:rsidRDefault="00222FFD" w:rsidP="00222FFD">
            <w:pPr>
              <w:numPr>
                <w:ilvl w:val="0"/>
                <w:numId w:val="1"/>
              </w:numPr>
              <w:spacing w:before="120" w:after="120" w:line="276" w:lineRule="auto"/>
              <w:rPr>
                <w:rFonts w:eastAsia="Calibri" w:cs="Segoe UI"/>
                <w:sz w:val="21"/>
                <w:szCs w:val="21"/>
              </w:rPr>
            </w:pPr>
            <w:r>
              <w:rPr>
                <w:rStyle w:val="ui-provider"/>
              </w:rPr>
              <w:t xml:space="preserve">Morningstar's </w:t>
            </w:r>
            <w:proofErr w:type="spellStart"/>
            <w:r>
              <w:rPr>
                <w:rStyle w:val="ui-provider"/>
              </w:rPr>
              <w:t>Medalist</w:t>
            </w:r>
            <w:proofErr w:type="spellEnd"/>
            <w:r>
              <w:rPr>
                <w:rStyle w:val="ui-provider"/>
              </w:rPr>
              <w:t xml:space="preserve"> Core portfolios are based on research provided by Morningstar Australasia's Fund Research team. Morningstar's Manager research team does not received payments from fund managers to rate their</w:t>
            </w:r>
            <w:r w:rsidRPr="006C1FD8">
              <w:rPr>
                <w:rFonts w:eastAsia="Calibri" w:cs="Segoe UI"/>
                <w:sz w:val="21"/>
                <w:szCs w:val="21"/>
              </w:rPr>
              <w:t>, nor does Morningstar Investment Management use any of their own funds or investment vehicles within these portfolios.</w:t>
            </w:r>
          </w:p>
          <w:p w14:paraId="02F89C0A" w14:textId="1D9587B4" w:rsidR="007D5F05" w:rsidRPr="006C1FD8" w:rsidRDefault="001E2975"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To maintain independence, Morningstar Australasia does not provide qualitative research on Morningstar Investment Management Products.</w:t>
            </w:r>
          </w:p>
        </w:tc>
      </w:tr>
    </w:tbl>
    <w:p w14:paraId="5097166C" w14:textId="77777777" w:rsidR="00A0504E" w:rsidRPr="0083460D" w:rsidRDefault="00A0504E" w:rsidP="00A0504E">
      <w:pPr>
        <w:spacing w:before="120" w:after="120" w:line="276" w:lineRule="auto"/>
        <w:rPr>
          <w:sz w:val="21"/>
          <w:szCs w:val="21"/>
        </w:rPr>
      </w:pPr>
      <w:r w:rsidRPr="0083460D">
        <w:rPr>
          <w:sz w:val="21"/>
          <w:szCs w:val="21"/>
        </w:rPr>
        <w:br w:type="page"/>
      </w:r>
    </w:p>
    <w:p w14:paraId="351DB7A8" w14:textId="024FB3EE" w:rsidR="00BC3FB4" w:rsidRPr="00A0504E" w:rsidRDefault="00BC3FB4" w:rsidP="00BC3FB4">
      <w:pPr>
        <w:pStyle w:val="Heading3"/>
        <w:rPr>
          <w:rStyle w:val="Strong"/>
          <w:b w:val="0"/>
          <w:bCs w:val="0"/>
        </w:rPr>
      </w:pPr>
      <w:bookmarkStart w:id="16" w:name="_Toc130885781"/>
      <w:bookmarkStart w:id="17" w:name="_Toc94277609"/>
      <w:bookmarkStart w:id="18" w:name="_Toc118898687"/>
      <w:r>
        <w:rPr>
          <w:rStyle w:val="Strong"/>
          <w:b w:val="0"/>
          <w:bCs w:val="0"/>
        </w:rPr>
        <w:lastRenderedPageBreak/>
        <w:t>Balanced</w:t>
      </w:r>
      <w:r w:rsidRPr="00A0504E">
        <w:rPr>
          <w:rStyle w:val="Strong"/>
          <w:b w:val="0"/>
          <w:bCs w:val="0"/>
        </w:rPr>
        <w:t xml:space="preserve"> (</w:t>
      </w:r>
      <w:r>
        <w:rPr>
          <w:rStyle w:val="Strong"/>
          <w:b w:val="0"/>
          <w:bCs w:val="0"/>
        </w:rPr>
        <w:t>50</w:t>
      </w:r>
      <w:r w:rsidRPr="00A0504E">
        <w:rPr>
          <w:rStyle w:val="Strong"/>
          <w:b w:val="0"/>
          <w:bCs w:val="0"/>
        </w:rPr>
        <w:t>)</w:t>
      </w:r>
      <w:bookmarkEnd w:id="16"/>
    </w:p>
    <w:tbl>
      <w:tblPr>
        <w:tblW w:w="4988" w:type="pct"/>
        <w:tblLook w:val="0000" w:firstRow="0" w:lastRow="0" w:firstColumn="0" w:lastColumn="0" w:noHBand="0" w:noVBand="0"/>
      </w:tblPr>
      <w:tblGrid>
        <w:gridCol w:w="1797"/>
        <w:gridCol w:w="7207"/>
      </w:tblGrid>
      <w:tr w:rsidR="00BC3FB4" w:rsidRPr="0083460D" w14:paraId="01CB3202" w14:textId="77777777" w:rsidTr="00D008AE">
        <w:tc>
          <w:tcPr>
            <w:tcW w:w="998" w:type="pct"/>
            <w:tcBorders>
              <w:top w:val="single" w:sz="4" w:space="0" w:color="C0C0C0"/>
              <w:bottom w:val="single" w:sz="4" w:space="0" w:color="C0C0C0"/>
            </w:tcBorders>
            <w:shd w:val="clear" w:color="auto" w:fill="auto"/>
          </w:tcPr>
          <w:p w14:paraId="501B688B" w14:textId="77777777" w:rsidR="00BC3FB4" w:rsidRPr="0083460D" w:rsidRDefault="00BC3FB4" w:rsidP="00D008AE">
            <w:pPr>
              <w:spacing w:before="120" w:after="120" w:line="276" w:lineRule="auto"/>
              <w:rPr>
                <w:sz w:val="21"/>
                <w:szCs w:val="21"/>
              </w:rPr>
            </w:pPr>
            <w:r w:rsidRPr="0083460D">
              <w:rPr>
                <w:b/>
                <w:color w:val="9E9E9E"/>
                <w:sz w:val="21"/>
                <w:szCs w:val="21"/>
              </w:rPr>
              <w:t>Why</w:t>
            </w:r>
          </w:p>
        </w:tc>
        <w:tc>
          <w:tcPr>
            <w:tcW w:w="4002" w:type="pct"/>
            <w:tcBorders>
              <w:top w:val="single" w:sz="4" w:space="0" w:color="C0C0C0"/>
              <w:bottom w:val="single" w:sz="4" w:space="0" w:color="C0C0C0"/>
            </w:tcBorders>
            <w:shd w:val="clear" w:color="auto" w:fill="auto"/>
          </w:tcPr>
          <w:p w14:paraId="46868565" w14:textId="155677B5" w:rsidR="00BC3FB4" w:rsidRPr="0083460D" w:rsidRDefault="00BC3FB4" w:rsidP="00D008AE">
            <w:pPr>
              <w:numPr>
                <w:ilvl w:val="0"/>
                <w:numId w:val="1"/>
              </w:numPr>
              <w:spacing w:before="120" w:after="120" w:line="276" w:lineRule="auto"/>
              <w:rPr>
                <w:rFonts w:eastAsia="Calibri"/>
                <w:sz w:val="21"/>
                <w:szCs w:val="21"/>
              </w:rPr>
            </w:pPr>
            <w:r w:rsidRPr="0083460D">
              <w:rPr>
                <w:rFonts w:eastAsia="Calibri"/>
                <w:sz w:val="21"/>
                <w:szCs w:val="21"/>
              </w:rPr>
              <w:t xml:space="preserve">Your desire is to achieve a consistent return by investing in a diversified portfolio </w:t>
            </w:r>
            <w:r>
              <w:rPr>
                <w:rFonts w:eastAsia="Calibri"/>
                <w:sz w:val="21"/>
                <w:szCs w:val="21"/>
              </w:rPr>
              <w:t>with a mix of growth asset classes, like Australian shares, property and international shares, and defensive</w:t>
            </w:r>
            <w:r w:rsidRPr="0083460D">
              <w:rPr>
                <w:rFonts w:eastAsia="Calibri"/>
                <w:sz w:val="21"/>
                <w:szCs w:val="21"/>
              </w:rPr>
              <w:t xml:space="preserve"> asset classes, such as cash and fixed </w:t>
            </w:r>
            <w:proofErr w:type="gramStart"/>
            <w:r w:rsidRPr="0083460D">
              <w:rPr>
                <w:rFonts w:eastAsia="Calibri"/>
                <w:sz w:val="21"/>
                <w:szCs w:val="21"/>
              </w:rPr>
              <w:t>interest</w:t>
            </w:r>
            <w:proofErr w:type="gramEnd"/>
            <w:r w:rsidRPr="0083460D">
              <w:rPr>
                <w:rFonts w:eastAsia="Calibri"/>
                <w:sz w:val="21"/>
                <w:szCs w:val="21"/>
              </w:rPr>
              <w:t xml:space="preserve"> </w:t>
            </w:r>
          </w:p>
          <w:p w14:paraId="732482A9" w14:textId="512284F7" w:rsidR="00876E6C" w:rsidRPr="00A0504E" w:rsidRDefault="00876E6C" w:rsidP="00876E6C">
            <w:pPr>
              <w:numPr>
                <w:ilvl w:val="0"/>
                <w:numId w:val="1"/>
              </w:numPr>
              <w:spacing w:before="120" w:after="120" w:line="276" w:lineRule="auto"/>
              <w:rPr>
                <w:rFonts w:eastAsia="Calibri" w:cs="Segoe UI"/>
                <w:sz w:val="21"/>
                <w:szCs w:val="21"/>
              </w:rPr>
            </w:pPr>
            <w:r w:rsidRPr="72091836">
              <w:rPr>
                <w:rFonts w:eastAsia="Calibri"/>
                <w:sz w:val="21"/>
                <w:szCs w:val="21"/>
              </w:rPr>
              <w:t xml:space="preserve">Your portfolio has been constructed with the objective of producing a return that exceeds </w:t>
            </w:r>
            <w:r>
              <w:rPr>
                <w:rFonts w:eastAsia="Calibri"/>
                <w:sz w:val="21"/>
                <w:szCs w:val="21"/>
              </w:rPr>
              <w:t>the portfolio’s composite multi-asset class balanced benchmark over a rolling 5-year period.</w:t>
            </w:r>
          </w:p>
          <w:p w14:paraId="72B6A67A" w14:textId="6B64715C" w:rsidR="00FD51FD" w:rsidRDefault="00FD51FD" w:rsidP="00FD51FD">
            <w:pPr>
              <w:numPr>
                <w:ilvl w:val="0"/>
                <w:numId w:val="1"/>
              </w:numPr>
              <w:spacing w:before="120" w:after="120" w:line="276" w:lineRule="auto"/>
              <w:rPr>
                <w:rFonts w:eastAsia="Calibri"/>
                <w:sz w:val="21"/>
                <w:szCs w:val="21"/>
              </w:rPr>
            </w:pPr>
            <w:r>
              <w:rPr>
                <w:rFonts w:eastAsia="Calibri"/>
                <w:sz w:val="21"/>
                <w:szCs w:val="21"/>
              </w:rPr>
              <w:t>Your</w:t>
            </w:r>
            <w:r w:rsidRPr="00B10C6C">
              <w:rPr>
                <w:rFonts w:eastAsia="Calibri"/>
                <w:sz w:val="21"/>
                <w:szCs w:val="21"/>
              </w:rPr>
              <w:t xml:space="preserve"> portfolio is powered by Morningstar</w:t>
            </w:r>
            <w:r w:rsidR="007F499A">
              <w:rPr>
                <w:rFonts w:eastAsia="Calibri"/>
                <w:sz w:val="21"/>
                <w:szCs w:val="21"/>
              </w:rPr>
              <w:t xml:space="preserve"> Australasia</w:t>
            </w:r>
            <w:r w:rsidRPr="00B10C6C">
              <w:rPr>
                <w:rFonts w:eastAsia="Calibri"/>
                <w:sz w:val="21"/>
                <w:szCs w:val="21"/>
              </w:rPr>
              <w:t xml:space="preserve">’s independent research and portfolio construction capabilities, leveraging </w:t>
            </w:r>
            <w:r>
              <w:rPr>
                <w:rFonts w:eastAsia="Calibri"/>
                <w:sz w:val="21"/>
                <w:szCs w:val="21"/>
              </w:rPr>
              <w:t>their</w:t>
            </w:r>
            <w:r w:rsidRPr="00B10C6C">
              <w:rPr>
                <w:rFonts w:eastAsia="Calibri"/>
                <w:sz w:val="21"/>
                <w:szCs w:val="21"/>
              </w:rPr>
              <w:t xml:space="preserve"> global capabilities and resources.</w:t>
            </w:r>
          </w:p>
          <w:p w14:paraId="637D8F8D" w14:textId="38FBED91" w:rsidR="00D71E56" w:rsidRDefault="00D71E56" w:rsidP="00FD51FD">
            <w:pPr>
              <w:numPr>
                <w:ilvl w:val="0"/>
                <w:numId w:val="1"/>
              </w:numPr>
              <w:spacing w:before="120" w:after="120" w:line="276" w:lineRule="auto"/>
              <w:rPr>
                <w:rFonts w:eastAsia="Calibri"/>
                <w:sz w:val="21"/>
                <w:szCs w:val="21"/>
              </w:rPr>
            </w:pPr>
            <w:r>
              <w:rPr>
                <w:rFonts w:eastAsia="Calibri"/>
                <w:sz w:val="21"/>
                <w:szCs w:val="21"/>
              </w:rPr>
              <w:t>Your</w:t>
            </w:r>
            <w:r w:rsidRPr="00D71E56">
              <w:rPr>
                <w:rFonts w:eastAsia="Calibri"/>
                <w:sz w:val="21"/>
                <w:szCs w:val="21"/>
              </w:rPr>
              <w:t xml:space="preserve"> portfolio has exposure to a diverse mix of managed investments, which include both interest-producing and growth assets. Over the long term, </w:t>
            </w:r>
            <w:r>
              <w:rPr>
                <w:rFonts w:eastAsia="Calibri"/>
                <w:sz w:val="21"/>
                <w:szCs w:val="21"/>
              </w:rPr>
              <w:t>your</w:t>
            </w:r>
            <w:r w:rsidRPr="00D71E56">
              <w:rPr>
                <w:rFonts w:eastAsia="Calibri"/>
                <w:sz w:val="21"/>
                <w:szCs w:val="21"/>
              </w:rPr>
              <w:t xml:space="preserve"> </w:t>
            </w:r>
            <w:r>
              <w:rPr>
                <w:rFonts w:eastAsia="Calibri"/>
                <w:sz w:val="21"/>
                <w:szCs w:val="21"/>
              </w:rPr>
              <w:t>p</w:t>
            </w:r>
            <w:r w:rsidRPr="00D71E56">
              <w:rPr>
                <w:rFonts w:eastAsia="Calibri"/>
                <w:sz w:val="21"/>
                <w:szCs w:val="21"/>
              </w:rPr>
              <w:t xml:space="preserve">ortfolio aims to have a 50% allocation to defensive assets and a 50% allocation to growth assets. </w:t>
            </w:r>
          </w:p>
          <w:p w14:paraId="588478F0" w14:textId="6CE868C6" w:rsidR="00FD51FD" w:rsidRDefault="00FD51FD" w:rsidP="00FD51FD">
            <w:pPr>
              <w:numPr>
                <w:ilvl w:val="0"/>
                <w:numId w:val="1"/>
              </w:numPr>
              <w:spacing w:before="120" w:after="120" w:line="276" w:lineRule="auto"/>
              <w:rPr>
                <w:rFonts w:eastAsia="Calibri"/>
                <w:sz w:val="21"/>
                <w:szCs w:val="21"/>
              </w:rPr>
            </w:pPr>
            <w:r>
              <w:rPr>
                <w:rFonts w:eastAsia="Calibri"/>
                <w:sz w:val="21"/>
                <w:szCs w:val="21"/>
              </w:rPr>
              <w:t>Your portfolio will be managed by Morningstar Investment Management, using third-party fund managers who are amongst Morningstar</w:t>
            </w:r>
            <w:r w:rsidR="007F499A">
              <w:rPr>
                <w:rFonts w:eastAsia="Calibri"/>
                <w:sz w:val="21"/>
                <w:szCs w:val="21"/>
              </w:rPr>
              <w:t xml:space="preserve"> Australasia</w:t>
            </w:r>
            <w:r>
              <w:rPr>
                <w:rFonts w:eastAsia="Calibri"/>
                <w:sz w:val="21"/>
                <w:szCs w:val="21"/>
              </w:rPr>
              <w:t>’s highest rated according to their independent research.</w:t>
            </w:r>
          </w:p>
          <w:p w14:paraId="6D206CC5" w14:textId="77777777" w:rsidR="00FD51FD" w:rsidRDefault="00FD51FD" w:rsidP="00FD51FD">
            <w:pPr>
              <w:numPr>
                <w:ilvl w:val="0"/>
                <w:numId w:val="1"/>
              </w:numPr>
              <w:spacing w:before="120" w:after="120" w:line="276" w:lineRule="auto"/>
              <w:rPr>
                <w:rFonts w:eastAsia="Calibri"/>
                <w:sz w:val="21"/>
                <w:szCs w:val="21"/>
              </w:rPr>
            </w:pPr>
            <w:r w:rsidRPr="72091836">
              <w:rPr>
                <w:rFonts w:eastAsia="Calibri"/>
                <w:sz w:val="21"/>
                <w:szCs w:val="21"/>
              </w:rPr>
              <w:t>The investment style of your portfolio has been optimised according to the probability of achieving the best performance for the lowest cost.</w:t>
            </w:r>
            <w:r>
              <w:rPr>
                <w:rFonts w:eastAsia="Calibri"/>
                <w:sz w:val="21"/>
                <w:szCs w:val="21"/>
              </w:rPr>
              <w:t xml:space="preserve"> </w:t>
            </w:r>
            <w:r w:rsidRPr="72091836">
              <w:rPr>
                <w:rFonts w:eastAsia="Calibri"/>
                <w:sz w:val="21"/>
                <w:szCs w:val="21"/>
              </w:rPr>
              <w:t xml:space="preserve">Where the likelihood of outperformance of the market is high, you will have an allocation to active managers, where this is low, you will have an allocation to passive managers. </w:t>
            </w:r>
          </w:p>
          <w:p w14:paraId="751355B0" w14:textId="0FF9BCC0" w:rsidR="00BC3FB4" w:rsidRPr="00E56275" w:rsidRDefault="00FD51FD" w:rsidP="00FD51FD">
            <w:pPr>
              <w:numPr>
                <w:ilvl w:val="0"/>
                <w:numId w:val="1"/>
              </w:numPr>
              <w:spacing w:before="120" w:after="120" w:line="276" w:lineRule="auto"/>
              <w:rPr>
                <w:rFonts w:eastAsia="Calibri"/>
                <w:sz w:val="21"/>
                <w:szCs w:val="21"/>
              </w:rPr>
            </w:pPr>
            <w:r>
              <w:rPr>
                <w:rFonts w:eastAsia="Calibri"/>
                <w:sz w:val="21"/>
                <w:szCs w:val="21"/>
              </w:rPr>
              <w:t xml:space="preserve">The underlying </w:t>
            </w:r>
            <w:r w:rsidRPr="0078496C">
              <w:rPr>
                <w:rFonts w:eastAsia="Calibri"/>
                <w:sz w:val="21"/>
                <w:szCs w:val="21"/>
              </w:rPr>
              <w:t xml:space="preserve">fund managers, their funds and the construction of </w:t>
            </w:r>
            <w:r>
              <w:rPr>
                <w:rFonts w:eastAsia="Calibri"/>
                <w:sz w:val="21"/>
                <w:szCs w:val="21"/>
              </w:rPr>
              <w:t>your</w:t>
            </w:r>
            <w:r w:rsidRPr="0078496C">
              <w:rPr>
                <w:rFonts w:eastAsia="Calibri"/>
                <w:sz w:val="21"/>
                <w:szCs w:val="21"/>
              </w:rPr>
              <w:t xml:space="preserve"> </w:t>
            </w:r>
            <w:r>
              <w:rPr>
                <w:rFonts w:eastAsia="Calibri"/>
                <w:sz w:val="21"/>
                <w:szCs w:val="21"/>
              </w:rPr>
              <w:t>p</w:t>
            </w:r>
            <w:r w:rsidRPr="0078496C">
              <w:rPr>
                <w:rFonts w:eastAsia="Calibri"/>
                <w:sz w:val="21"/>
                <w:szCs w:val="21"/>
              </w:rPr>
              <w:t xml:space="preserve">ortfolio </w:t>
            </w:r>
            <w:r>
              <w:rPr>
                <w:rFonts w:eastAsia="Calibri"/>
                <w:sz w:val="21"/>
                <w:szCs w:val="21"/>
              </w:rPr>
              <w:t>are</w:t>
            </w:r>
            <w:r w:rsidRPr="0078496C">
              <w:rPr>
                <w:rFonts w:eastAsia="Calibri"/>
                <w:sz w:val="21"/>
                <w:szCs w:val="21"/>
              </w:rPr>
              <w:t xml:space="preserve"> regularly reviewed for suitability and market conditions.</w:t>
            </w:r>
            <w:r w:rsidR="00BC3FB4">
              <w:rPr>
                <w:rFonts w:eastAsia="Calibri"/>
                <w:sz w:val="21"/>
                <w:szCs w:val="21"/>
              </w:rPr>
              <w:t xml:space="preserve"> </w:t>
            </w:r>
          </w:p>
        </w:tc>
      </w:tr>
      <w:tr w:rsidR="00BC3FB4" w:rsidRPr="0083460D" w14:paraId="48F00CB2" w14:textId="77777777" w:rsidTr="00D008AE">
        <w:tc>
          <w:tcPr>
            <w:tcW w:w="998" w:type="pct"/>
            <w:tcBorders>
              <w:top w:val="single" w:sz="4" w:space="0" w:color="C0C0C0"/>
              <w:bottom w:val="single" w:sz="4" w:space="0" w:color="C0C0C0"/>
            </w:tcBorders>
            <w:shd w:val="clear" w:color="auto" w:fill="auto"/>
          </w:tcPr>
          <w:p w14:paraId="6B4A2DF2" w14:textId="77777777" w:rsidR="00BC3FB4" w:rsidRPr="0083460D" w:rsidRDefault="00BC3FB4" w:rsidP="00D008AE">
            <w:pPr>
              <w:spacing w:before="120" w:after="120" w:line="276" w:lineRule="auto"/>
              <w:rPr>
                <w:b/>
                <w:color w:val="9E9E9E"/>
                <w:sz w:val="21"/>
                <w:szCs w:val="21"/>
              </w:rPr>
            </w:pPr>
            <w:r w:rsidRPr="0083460D">
              <w:rPr>
                <w:sz w:val="21"/>
                <w:szCs w:val="21"/>
              </w:rPr>
              <w:br w:type="page"/>
            </w:r>
            <w:r w:rsidRPr="0083460D">
              <w:rPr>
                <w:b/>
                <w:color w:val="9E9E9E"/>
                <w:sz w:val="21"/>
                <w:szCs w:val="21"/>
              </w:rPr>
              <w:t>Risks</w:t>
            </w:r>
          </w:p>
        </w:tc>
        <w:tc>
          <w:tcPr>
            <w:tcW w:w="4002" w:type="pct"/>
            <w:tcBorders>
              <w:top w:val="single" w:sz="4" w:space="0" w:color="C0C0C0"/>
              <w:bottom w:val="single" w:sz="4" w:space="0" w:color="C0C0C0"/>
            </w:tcBorders>
            <w:shd w:val="clear" w:color="auto" w:fill="auto"/>
          </w:tcPr>
          <w:p w14:paraId="17D1981A" w14:textId="3414C7F2"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A </w:t>
            </w:r>
            <w:r>
              <w:rPr>
                <w:rFonts w:eastAsia="Calibri" w:cs="Segoe UI"/>
                <w:sz w:val="21"/>
                <w:szCs w:val="21"/>
              </w:rPr>
              <w:t xml:space="preserve">moderate </w:t>
            </w:r>
            <w:r w:rsidRPr="0083460D">
              <w:rPr>
                <w:rFonts w:eastAsia="Calibri" w:cs="Segoe UI"/>
                <w:sz w:val="21"/>
                <w:szCs w:val="21"/>
              </w:rPr>
              <w:t>level of volatility can be expected from time to time</w:t>
            </w:r>
            <w:r>
              <w:rPr>
                <w:rFonts w:eastAsia="Calibri" w:cs="Segoe UI"/>
                <w:sz w:val="21"/>
                <w:szCs w:val="21"/>
              </w:rPr>
              <w:t>,</w:t>
            </w:r>
            <w:r w:rsidRPr="0083460D">
              <w:rPr>
                <w:rFonts w:eastAsia="Calibri" w:cs="Segoe UI"/>
                <w:sz w:val="21"/>
                <w:szCs w:val="21"/>
              </w:rPr>
              <w:t xml:space="preserve"> </w:t>
            </w:r>
            <w:proofErr w:type="gramStart"/>
            <w:r w:rsidRPr="0083460D">
              <w:rPr>
                <w:rFonts w:eastAsia="Calibri" w:cs="Segoe UI"/>
                <w:sz w:val="21"/>
                <w:szCs w:val="21"/>
              </w:rPr>
              <w:t>and</w:t>
            </w:r>
            <w:r>
              <w:rPr>
                <w:rFonts w:eastAsia="Calibri" w:cs="Segoe UI"/>
                <w:sz w:val="21"/>
                <w:szCs w:val="21"/>
              </w:rPr>
              <w:t>,</w:t>
            </w:r>
            <w:proofErr w:type="gramEnd"/>
            <w:r w:rsidRPr="0083460D">
              <w:rPr>
                <w:rFonts w:eastAsia="Calibri" w:cs="Segoe UI"/>
                <w:sz w:val="21"/>
                <w:szCs w:val="21"/>
              </w:rPr>
              <w:t xml:space="preserve"> overall returns likely to be </w:t>
            </w:r>
            <w:r>
              <w:rPr>
                <w:rFonts w:eastAsia="Calibri" w:cs="Segoe UI"/>
                <w:sz w:val="21"/>
                <w:szCs w:val="21"/>
              </w:rPr>
              <w:t>average compared to other risk profiles</w:t>
            </w:r>
            <w:r w:rsidRPr="0083460D">
              <w:rPr>
                <w:rFonts w:eastAsia="Calibri" w:cs="Segoe UI"/>
                <w:sz w:val="21"/>
                <w:szCs w:val="21"/>
              </w:rPr>
              <w:t xml:space="preserve">. </w:t>
            </w:r>
            <w:r>
              <w:rPr>
                <w:rFonts w:eastAsia="Calibri" w:cs="Segoe UI"/>
                <w:sz w:val="21"/>
                <w:szCs w:val="21"/>
              </w:rPr>
              <w:t>It’s important to note however, r</w:t>
            </w:r>
            <w:r w:rsidRPr="0083460D">
              <w:rPr>
                <w:rFonts w:eastAsia="Calibri" w:cs="Segoe UI"/>
                <w:sz w:val="21"/>
                <w:szCs w:val="21"/>
              </w:rPr>
              <w:t xml:space="preserve">eturns from the </w:t>
            </w:r>
            <w:r>
              <w:rPr>
                <w:rFonts w:eastAsia="Calibri" w:cs="Segoe UI"/>
                <w:sz w:val="21"/>
                <w:szCs w:val="21"/>
              </w:rPr>
              <w:t>portfolio</w:t>
            </w:r>
            <w:r w:rsidRPr="0083460D">
              <w:rPr>
                <w:rFonts w:eastAsia="Calibri" w:cs="Segoe UI"/>
                <w:sz w:val="21"/>
                <w:szCs w:val="21"/>
              </w:rPr>
              <w:t xml:space="preserve"> are not guaranteed and capital loss is possible.</w:t>
            </w:r>
          </w:p>
          <w:p w14:paraId="5EC4D950"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The recommended investment may underperform </w:t>
            </w:r>
            <w:r>
              <w:rPr>
                <w:rFonts w:eastAsia="Calibri" w:cs="Segoe UI"/>
                <w:sz w:val="21"/>
                <w:szCs w:val="21"/>
              </w:rPr>
              <w:t xml:space="preserve">your </w:t>
            </w:r>
            <w:r w:rsidRPr="0083460D">
              <w:rPr>
                <w:rFonts w:eastAsia="Calibri" w:cs="Segoe UI"/>
                <w:sz w:val="21"/>
                <w:szCs w:val="21"/>
              </w:rPr>
              <w:t>existing portfolio.</w:t>
            </w:r>
          </w:p>
          <w:p w14:paraId="40D1B0EC" w14:textId="77777777" w:rsidR="00BC3FB4" w:rsidRPr="0083460D" w:rsidRDefault="00BC3FB4" w:rsidP="00D008AE">
            <w:pPr>
              <w:numPr>
                <w:ilvl w:val="0"/>
                <w:numId w:val="1"/>
              </w:numPr>
              <w:spacing w:before="120" w:after="120" w:line="276" w:lineRule="auto"/>
              <w:rPr>
                <w:rFonts w:eastAsia="Calibri" w:cs="Segoe UI"/>
                <w:sz w:val="21"/>
                <w:szCs w:val="21"/>
              </w:rPr>
            </w:pPr>
            <w:r>
              <w:rPr>
                <w:rFonts w:eastAsia="Calibri" w:cs="Segoe UI"/>
                <w:sz w:val="21"/>
                <w:szCs w:val="21"/>
              </w:rPr>
              <w:t xml:space="preserve">Investors cannot </w:t>
            </w:r>
            <w:r w:rsidRPr="0083460D">
              <w:rPr>
                <w:rFonts w:eastAsia="Calibri" w:cs="Segoe UI"/>
                <w:sz w:val="21"/>
                <w:szCs w:val="21"/>
              </w:rPr>
              <w:t xml:space="preserve">control financial markets and economic circumstances. Investments with inherent </w:t>
            </w:r>
            <w:r>
              <w:rPr>
                <w:rFonts w:eastAsia="Calibri" w:cs="Segoe UI"/>
                <w:sz w:val="21"/>
                <w:szCs w:val="21"/>
              </w:rPr>
              <w:t>share</w:t>
            </w:r>
            <w:r w:rsidRPr="0083460D">
              <w:rPr>
                <w:rFonts w:eastAsia="Calibri" w:cs="Segoe UI"/>
                <w:sz w:val="21"/>
                <w:szCs w:val="21"/>
              </w:rPr>
              <w:t xml:space="preserve"> </w:t>
            </w:r>
            <w:r>
              <w:rPr>
                <w:rFonts w:eastAsia="Calibri" w:cs="Segoe UI"/>
                <w:sz w:val="21"/>
                <w:szCs w:val="21"/>
              </w:rPr>
              <w:t xml:space="preserve">and property exposures </w:t>
            </w:r>
            <w:r w:rsidRPr="0083460D">
              <w:rPr>
                <w:rFonts w:eastAsia="Calibri" w:cs="Segoe UI"/>
                <w:sz w:val="21"/>
                <w:szCs w:val="21"/>
              </w:rPr>
              <w:t>are volatile by nature as they are not capital guaranteed. The concept of volatility means that investment values can move both up and down. The greater the volatility the more ups and downs. The reward for accepting volatility is likely higher returns over the long term.</w:t>
            </w:r>
          </w:p>
          <w:p w14:paraId="477D25ED"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All asset classes, other than cash, will inevitably experience periods of negative returns. This is especially true for growth</w:t>
            </w:r>
            <w:r>
              <w:rPr>
                <w:rFonts w:eastAsia="Calibri" w:cs="Segoe UI"/>
                <w:sz w:val="21"/>
                <w:szCs w:val="21"/>
              </w:rPr>
              <w:t>-</w:t>
            </w:r>
            <w:r w:rsidRPr="0083460D">
              <w:rPr>
                <w:rFonts w:eastAsia="Calibri" w:cs="Segoe UI"/>
                <w:sz w:val="21"/>
                <w:szCs w:val="21"/>
              </w:rPr>
              <w:t xml:space="preserve">oriented investments, such as Australian and International shares and property.  However, no one can predict when negative returns will occur, or their duration. The </w:t>
            </w:r>
            <w:r w:rsidRPr="0083460D">
              <w:rPr>
                <w:rFonts w:eastAsia="Calibri" w:cs="Segoe UI"/>
                <w:sz w:val="21"/>
                <w:szCs w:val="21"/>
              </w:rPr>
              <w:lastRenderedPageBreak/>
              <w:t xml:space="preserve">implication of prolonged periods of negative returns for investors is that it can reduce the number of years that your portfolio will </w:t>
            </w:r>
            <w:proofErr w:type="gramStart"/>
            <w:r w:rsidRPr="0083460D">
              <w:rPr>
                <w:rFonts w:eastAsia="Calibri" w:cs="Segoe UI"/>
                <w:sz w:val="21"/>
                <w:szCs w:val="21"/>
              </w:rPr>
              <w:t>last</w:t>
            </w:r>
            <w:proofErr w:type="gramEnd"/>
            <w:r w:rsidRPr="0083460D">
              <w:rPr>
                <w:rFonts w:eastAsia="Calibri" w:cs="Segoe UI"/>
                <w:sz w:val="21"/>
                <w:szCs w:val="21"/>
              </w:rPr>
              <w:t xml:space="preserve"> or you may need to postpone your retirement.</w:t>
            </w:r>
          </w:p>
          <w:p w14:paraId="2724C6EC"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You will realise any investment gains</w:t>
            </w:r>
            <w:r>
              <w:rPr>
                <w:rFonts w:eastAsia="Calibri" w:cs="Segoe UI"/>
                <w:sz w:val="21"/>
                <w:szCs w:val="21"/>
              </w:rPr>
              <w:t xml:space="preserve"> and</w:t>
            </w:r>
            <w:r w:rsidRPr="0083460D">
              <w:rPr>
                <w:rFonts w:eastAsia="Calibri" w:cs="Segoe UI"/>
                <w:sz w:val="21"/>
                <w:szCs w:val="21"/>
              </w:rPr>
              <w:t xml:space="preserve"> </w:t>
            </w:r>
            <w:r>
              <w:rPr>
                <w:rFonts w:eastAsia="Calibri" w:cs="Segoe UI"/>
                <w:sz w:val="21"/>
                <w:szCs w:val="21"/>
              </w:rPr>
              <w:t>t</w:t>
            </w:r>
            <w:r w:rsidRPr="0083460D">
              <w:rPr>
                <w:rFonts w:eastAsia="Calibri" w:cs="Segoe UI"/>
                <w:sz w:val="21"/>
                <w:szCs w:val="21"/>
              </w:rPr>
              <w:t xml:space="preserve">here may be tax payable on the capital gains. We strongly recommend that you confirm your tax </w:t>
            </w:r>
            <w:r>
              <w:rPr>
                <w:rFonts w:eastAsia="Calibri" w:cs="Segoe UI"/>
                <w:sz w:val="21"/>
                <w:szCs w:val="21"/>
              </w:rPr>
              <w:t>position</w:t>
            </w:r>
            <w:r w:rsidRPr="0083460D">
              <w:rPr>
                <w:rFonts w:eastAsia="Calibri" w:cs="Segoe UI"/>
                <w:sz w:val="21"/>
                <w:szCs w:val="21"/>
              </w:rPr>
              <w:t xml:space="preserve"> with your accountant.</w:t>
            </w:r>
          </w:p>
        </w:tc>
      </w:tr>
      <w:tr w:rsidR="00BC3FB4" w:rsidRPr="0083460D" w14:paraId="7569CC26" w14:textId="77777777" w:rsidTr="00D008AE">
        <w:tc>
          <w:tcPr>
            <w:tcW w:w="998" w:type="pct"/>
            <w:tcBorders>
              <w:top w:val="single" w:sz="4" w:space="0" w:color="C0C0C0"/>
              <w:bottom w:val="single" w:sz="4" w:space="0" w:color="C0C0C0"/>
            </w:tcBorders>
            <w:shd w:val="clear" w:color="auto" w:fill="auto"/>
          </w:tcPr>
          <w:p w14:paraId="3C23F503"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lastRenderedPageBreak/>
              <w:t>Disadvantages</w:t>
            </w:r>
          </w:p>
        </w:tc>
        <w:tc>
          <w:tcPr>
            <w:tcW w:w="4002" w:type="pct"/>
            <w:tcBorders>
              <w:top w:val="single" w:sz="4" w:space="0" w:color="C0C0C0"/>
              <w:bottom w:val="single" w:sz="4" w:space="0" w:color="C0C0C0"/>
            </w:tcBorders>
            <w:shd w:val="clear" w:color="auto" w:fill="auto"/>
          </w:tcPr>
          <w:p w14:paraId="4A7B4097" w14:textId="77777777" w:rsidR="00BC3FB4" w:rsidRPr="0083460D" w:rsidRDefault="00BC3FB4" w:rsidP="00D008AE">
            <w:pPr>
              <w:numPr>
                <w:ilvl w:val="0"/>
                <w:numId w:val="1"/>
              </w:numPr>
              <w:spacing w:before="120" w:after="120" w:line="276" w:lineRule="auto"/>
              <w:rPr>
                <w:rFonts w:eastAsia="Calibri" w:cs="Segoe UI"/>
                <w:sz w:val="21"/>
                <w:szCs w:val="21"/>
              </w:rPr>
            </w:pPr>
            <w:r w:rsidRPr="0015078E">
              <w:rPr>
                <w:rFonts w:eastAsia="Calibri" w:cs="Segoe UI"/>
                <w:sz w:val="21"/>
                <w:szCs w:val="21"/>
              </w:rPr>
              <w:t>As your portfolio has been designed for investors who favour stability of capital and lower volatility, potential returns are also lower than more aggressive portfolios.</w:t>
            </w:r>
          </w:p>
        </w:tc>
      </w:tr>
      <w:tr w:rsidR="00BC3FB4" w:rsidRPr="006C1FD8" w14:paraId="7126AEED" w14:textId="77777777" w:rsidTr="00D008AE">
        <w:tc>
          <w:tcPr>
            <w:tcW w:w="998" w:type="pct"/>
            <w:tcBorders>
              <w:top w:val="single" w:sz="4" w:space="0" w:color="C0C0C0"/>
              <w:bottom w:val="single" w:sz="4" w:space="0" w:color="C0C0C0"/>
            </w:tcBorders>
            <w:shd w:val="clear" w:color="auto" w:fill="auto"/>
          </w:tcPr>
          <w:p w14:paraId="76C9D233"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t>Other Considerations</w:t>
            </w:r>
          </w:p>
        </w:tc>
        <w:tc>
          <w:tcPr>
            <w:tcW w:w="4002" w:type="pct"/>
            <w:tcBorders>
              <w:top w:val="single" w:sz="4" w:space="0" w:color="C0C0C0"/>
              <w:bottom w:val="single" w:sz="4" w:space="0" w:color="C0C0C0"/>
            </w:tcBorders>
            <w:shd w:val="clear" w:color="auto" w:fill="auto"/>
          </w:tcPr>
          <w:p w14:paraId="3791ED3B" w14:textId="48E16655" w:rsidR="00BC3FB4" w:rsidRPr="006C1FD8" w:rsidRDefault="00BC3FB4" w:rsidP="00D008AE">
            <w:pPr>
              <w:numPr>
                <w:ilvl w:val="0"/>
                <w:numId w:val="1"/>
              </w:numPr>
              <w:spacing w:before="120" w:after="120" w:line="276" w:lineRule="auto"/>
              <w:rPr>
                <w:rFonts w:eastAsia="Calibri"/>
                <w:sz w:val="21"/>
                <w:szCs w:val="21"/>
              </w:rPr>
            </w:pPr>
            <w:r w:rsidRPr="006C1FD8">
              <w:rPr>
                <w:rFonts w:eastAsia="Calibri"/>
                <w:sz w:val="21"/>
                <w:szCs w:val="21"/>
              </w:rPr>
              <w:t xml:space="preserve">In general, the Conservative portfolio will hold 50% defensive assets and 50% growth assets; however, the allocations will be actively managed within the allowable ranges depending on market conditions. </w:t>
            </w:r>
          </w:p>
          <w:p w14:paraId="7446D044" w14:textId="310F985F" w:rsidR="00BC3FB4" w:rsidRPr="006C1FD8" w:rsidRDefault="00BC3FB4"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Your portfolio will be managed by Morningstar who have a highly capable global investment team who specialise in asset allocation, quality stock selection and portfolio construction. </w:t>
            </w:r>
          </w:p>
          <w:p w14:paraId="3D2355CF" w14:textId="77777777" w:rsidR="00B228A7" w:rsidRPr="006C1FD8" w:rsidRDefault="00B228A7" w:rsidP="00B228A7">
            <w:pPr>
              <w:numPr>
                <w:ilvl w:val="0"/>
                <w:numId w:val="1"/>
              </w:numPr>
              <w:spacing w:before="120" w:after="120" w:line="276" w:lineRule="auto"/>
              <w:rPr>
                <w:rFonts w:eastAsia="Calibri" w:cs="Segoe UI"/>
                <w:sz w:val="21"/>
                <w:szCs w:val="21"/>
              </w:rPr>
            </w:pPr>
            <w:r w:rsidRPr="006C1FD8">
              <w:rPr>
                <w:rFonts w:eastAsia="Calibri" w:cs="Segoe UI"/>
                <w:sz w:val="21"/>
                <w:szCs w:val="21"/>
              </w:rPr>
              <w:t>In addition, Morningstar Australasia have a global research team, known for their independence, who determine fund ratings on a regular basis.</w:t>
            </w:r>
          </w:p>
          <w:p w14:paraId="30DCB859" w14:textId="77777777" w:rsidR="00EB0F1C" w:rsidRPr="006C1FD8" w:rsidRDefault="00EB0F1C"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Morningstar’s approach within the </w:t>
            </w:r>
            <w:proofErr w:type="spellStart"/>
            <w:r w:rsidRPr="006C1FD8">
              <w:rPr>
                <w:rFonts w:eastAsia="Calibri" w:cs="Segoe UI"/>
                <w:sz w:val="21"/>
                <w:szCs w:val="21"/>
              </w:rPr>
              <w:t>Medalist</w:t>
            </w:r>
            <w:proofErr w:type="spellEnd"/>
            <w:r w:rsidRPr="006C1FD8">
              <w:rPr>
                <w:rFonts w:eastAsia="Calibri" w:cs="Segoe UI"/>
                <w:sz w:val="21"/>
                <w:szCs w:val="21"/>
              </w:rPr>
              <w:t xml:space="preserve"> Core portfolios </w:t>
            </w:r>
            <w:proofErr w:type="gramStart"/>
            <w:r w:rsidRPr="006C1FD8">
              <w:rPr>
                <w:rFonts w:eastAsia="Calibri" w:cs="Segoe UI"/>
                <w:sz w:val="21"/>
                <w:szCs w:val="21"/>
              </w:rPr>
              <w:t>consider</w:t>
            </w:r>
            <w:proofErr w:type="gramEnd"/>
            <w:r w:rsidRPr="006C1FD8">
              <w:rPr>
                <w:rFonts w:eastAsia="Calibri" w:cs="Segoe UI"/>
                <w:sz w:val="21"/>
                <w:szCs w:val="21"/>
              </w:rPr>
              <w:t xml:space="preserve"> the likelihood of active managers to outperform the market on a regular basis. Where outperformance is unlikely, they invest in passive managers to reduce costs to you.</w:t>
            </w:r>
          </w:p>
          <w:p w14:paraId="19112750" w14:textId="77777777" w:rsidR="00222FFD" w:rsidRPr="006C1FD8" w:rsidRDefault="00222FFD" w:rsidP="00222FFD">
            <w:pPr>
              <w:numPr>
                <w:ilvl w:val="0"/>
                <w:numId w:val="1"/>
              </w:numPr>
              <w:spacing w:before="120" w:after="120" w:line="276" w:lineRule="auto"/>
              <w:rPr>
                <w:rFonts w:eastAsia="Calibri" w:cs="Segoe UI"/>
                <w:sz w:val="21"/>
                <w:szCs w:val="21"/>
              </w:rPr>
            </w:pPr>
            <w:r>
              <w:rPr>
                <w:rStyle w:val="ui-provider"/>
              </w:rPr>
              <w:t xml:space="preserve">Morningstar's </w:t>
            </w:r>
            <w:proofErr w:type="spellStart"/>
            <w:r>
              <w:rPr>
                <w:rStyle w:val="ui-provider"/>
              </w:rPr>
              <w:t>Medalist</w:t>
            </w:r>
            <w:proofErr w:type="spellEnd"/>
            <w:r>
              <w:rPr>
                <w:rStyle w:val="ui-provider"/>
              </w:rPr>
              <w:t xml:space="preserve"> Core portfolios are based on research provided by Morningstar Australasia's Fund Research team. Morningstar's Manager research team does not received payments from fund managers to rate their</w:t>
            </w:r>
            <w:r w:rsidRPr="006C1FD8">
              <w:rPr>
                <w:rFonts w:eastAsia="Calibri" w:cs="Segoe UI"/>
                <w:sz w:val="21"/>
                <w:szCs w:val="21"/>
              </w:rPr>
              <w:t>, nor does Morningstar Investment Management use any of their own funds or investment vehicles within these portfolios.</w:t>
            </w:r>
          </w:p>
          <w:p w14:paraId="22FA233D" w14:textId="6EFB4C3D" w:rsidR="007D5F05" w:rsidRPr="006C1FD8" w:rsidRDefault="001E2975"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To maintain independence, Morningstar Australasia does not provide qualitative research on Morningstar Investment Management Products.</w:t>
            </w:r>
          </w:p>
        </w:tc>
      </w:tr>
      <w:bookmarkEnd w:id="17"/>
      <w:bookmarkEnd w:id="18"/>
    </w:tbl>
    <w:p w14:paraId="3BAD8947" w14:textId="77777777" w:rsidR="00A0504E" w:rsidRDefault="00A0504E" w:rsidP="00A0504E">
      <w:pPr>
        <w:spacing w:after="200" w:line="276" w:lineRule="auto"/>
        <w:rPr>
          <w:sz w:val="21"/>
          <w:szCs w:val="21"/>
        </w:rPr>
      </w:pPr>
      <w:r>
        <w:rPr>
          <w:sz w:val="21"/>
          <w:szCs w:val="21"/>
        </w:rPr>
        <w:br w:type="page"/>
      </w:r>
    </w:p>
    <w:p w14:paraId="72E097AA" w14:textId="0B48FA02" w:rsidR="00BC3FB4" w:rsidRPr="00A0504E" w:rsidRDefault="00BC3FB4" w:rsidP="00BC3FB4">
      <w:pPr>
        <w:pStyle w:val="Heading3"/>
        <w:rPr>
          <w:rStyle w:val="Strong"/>
          <w:b w:val="0"/>
          <w:bCs w:val="0"/>
        </w:rPr>
      </w:pPr>
      <w:bookmarkStart w:id="19" w:name="_Toc130885782"/>
      <w:bookmarkStart w:id="20" w:name="_Toc94277610"/>
      <w:bookmarkStart w:id="21" w:name="_Toc118898688"/>
      <w:r>
        <w:rPr>
          <w:rStyle w:val="Strong"/>
          <w:b w:val="0"/>
          <w:bCs w:val="0"/>
        </w:rPr>
        <w:lastRenderedPageBreak/>
        <w:t>Growth</w:t>
      </w:r>
      <w:r w:rsidRPr="00A0504E">
        <w:rPr>
          <w:rStyle w:val="Strong"/>
          <w:b w:val="0"/>
          <w:bCs w:val="0"/>
        </w:rPr>
        <w:t xml:space="preserve"> (</w:t>
      </w:r>
      <w:r>
        <w:rPr>
          <w:rStyle w:val="Strong"/>
          <w:b w:val="0"/>
          <w:bCs w:val="0"/>
        </w:rPr>
        <w:t>70</w:t>
      </w:r>
      <w:r w:rsidRPr="00A0504E">
        <w:rPr>
          <w:rStyle w:val="Strong"/>
          <w:b w:val="0"/>
          <w:bCs w:val="0"/>
        </w:rPr>
        <w:t>)</w:t>
      </w:r>
      <w:bookmarkEnd w:id="19"/>
    </w:p>
    <w:tbl>
      <w:tblPr>
        <w:tblW w:w="4988" w:type="pct"/>
        <w:tblLook w:val="0000" w:firstRow="0" w:lastRow="0" w:firstColumn="0" w:lastColumn="0" w:noHBand="0" w:noVBand="0"/>
      </w:tblPr>
      <w:tblGrid>
        <w:gridCol w:w="1797"/>
        <w:gridCol w:w="7207"/>
      </w:tblGrid>
      <w:tr w:rsidR="00BC3FB4" w:rsidRPr="0083460D" w14:paraId="2C6801E7" w14:textId="77777777" w:rsidTr="00D008AE">
        <w:tc>
          <w:tcPr>
            <w:tcW w:w="998" w:type="pct"/>
            <w:tcBorders>
              <w:top w:val="single" w:sz="4" w:space="0" w:color="C0C0C0"/>
              <w:bottom w:val="single" w:sz="4" w:space="0" w:color="C0C0C0"/>
            </w:tcBorders>
            <w:shd w:val="clear" w:color="auto" w:fill="auto"/>
          </w:tcPr>
          <w:p w14:paraId="2D273DA9" w14:textId="77777777" w:rsidR="00BC3FB4" w:rsidRPr="0083460D" w:rsidRDefault="00BC3FB4" w:rsidP="00D008AE">
            <w:pPr>
              <w:spacing w:before="120" w:after="120" w:line="276" w:lineRule="auto"/>
              <w:rPr>
                <w:sz w:val="21"/>
                <w:szCs w:val="21"/>
              </w:rPr>
            </w:pPr>
            <w:r w:rsidRPr="0083460D">
              <w:rPr>
                <w:b/>
                <w:color w:val="9E9E9E"/>
                <w:sz w:val="21"/>
                <w:szCs w:val="21"/>
              </w:rPr>
              <w:t>Why</w:t>
            </w:r>
          </w:p>
        </w:tc>
        <w:tc>
          <w:tcPr>
            <w:tcW w:w="4002" w:type="pct"/>
            <w:tcBorders>
              <w:top w:val="single" w:sz="4" w:space="0" w:color="C0C0C0"/>
              <w:bottom w:val="single" w:sz="4" w:space="0" w:color="C0C0C0"/>
            </w:tcBorders>
            <w:shd w:val="clear" w:color="auto" w:fill="auto"/>
          </w:tcPr>
          <w:p w14:paraId="55753B42" w14:textId="137A7E10" w:rsidR="00BC3FB4" w:rsidRPr="0083460D" w:rsidRDefault="00BC3FB4" w:rsidP="00D008AE">
            <w:pPr>
              <w:numPr>
                <w:ilvl w:val="0"/>
                <w:numId w:val="1"/>
              </w:numPr>
              <w:spacing w:before="120" w:after="120" w:line="276" w:lineRule="auto"/>
              <w:rPr>
                <w:rFonts w:eastAsia="Calibri"/>
                <w:sz w:val="21"/>
                <w:szCs w:val="21"/>
              </w:rPr>
            </w:pPr>
            <w:r w:rsidRPr="0083460D">
              <w:rPr>
                <w:rFonts w:eastAsia="Calibri"/>
                <w:sz w:val="21"/>
                <w:szCs w:val="21"/>
              </w:rPr>
              <w:t>Your desire is to achieve</w:t>
            </w:r>
            <w:r>
              <w:rPr>
                <w:rFonts w:eastAsia="Calibri"/>
                <w:sz w:val="21"/>
                <w:szCs w:val="21"/>
              </w:rPr>
              <w:t xml:space="preserve"> strong returns</w:t>
            </w:r>
            <w:r w:rsidRPr="0083460D">
              <w:rPr>
                <w:rFonts w:eastAsia="Calibri"/>
                <w:sz w:val="21"/>
                <w:szCs w:val="21"/>
              </w:rPr>
              <w:t xml:space="preserve"> by investing in a diversified portfolio </w:t>
            </w:r>
            <w:r>
              <w:rPr>
                <w:rFonts w:eastAsia="Calibri"/>
                <w:sz w:val="21"/>
                <w:szCs w:val="21"/>
              </w:rPr>
              <w:t xml:space="preserve">with a mix of growth asset classes, like Australian shares, </w:t>
            </w:r>
            <w:proofErr w:type="gramStart"/>
            <w:r>
              <w:rPr>
                <w:rFonts w:eastAsia="Calibri"/>
                <w:sz w:val="21"/>
                <w:szCs w:val="21"/>
              </w:rPr>
              <w:t>property</w:t>
            </w:r>
            <w:proofErr w:type="gramEnd"/>
            <w:r>
              <w:rPr>
                <w:rFonts w:eastAsia="Calibri"/>
                <w:sz w:val="21"/>
                <w:szCs w:val="21"/>
              </w:rPr>
              <w:t xml:space="preserve"> and international shares, </w:t>
            </w:r>
            <w:r w:rsidRPr="0083460D">
              <w:rPr>
                <w:rFonts w:eastAsia="Calibri"/>
                <w:sz w:val="21"/>
                <w:szCs w:val="21"/>
              </w:rPr>
              <w:t>with a small</w:t>
            </w:r>
            <w:r>
              <w:rPr>
                <w:rFonts w:eastAsia="Calibri"/>
                <w:sz w:val="21"/>
                <w:szCs w:val="21"/>
              </w:rPr>
              <w:t>er</w:t>
            </w:r>
            <w:r w:rsidRPr="0083460D">
              <w:rPr>
                <w:rFonts w:eastAsia="Calibri"/>
                <w:sz w:val="21"/>
                <w:szCs w:val="21"/>
              </w:rPr>
              <w:t xml:space="preserve"> proportion of </w:t>
            </w:r>
            <w:r>
              <w:rPr>
                <w:rFonts w:eastAsia="Calibri"/>
                <w:sz w:val="21"/>
                <w:szCs w:val="21"/>
              </w:rPr>
              <w:t>defensive</w:t>
            </w:r>
            <w:r w:rsidRPr="0083460D">
              <w:rPr>
                <w:rFonts w:eastAsia="Calibri"/>
                <w:sz w:val="21"/>
                <w:szCs w:val="21"/>
              </w:rPr>
              <w:t xml:space="preserve"> asset</w:t>
            </w:r>
            <w:r>
              <w:rPr>
                <w:rFonts w:eastAsia="Calibri"/>
                <w:sz w:val="21"/>
                <w:szCs w:val="21"/>
              </w:rPr>
              <w:t xml:space="preserve"> classes, like</w:t>
            </w:r>
            <w:r w:rsidRPr="0083460D">
              <w:rPr>
                <w:rFonts w:eastAsia="Calibri"/>
                <w:sz w:val="21"/>
                <w:szCs w:val="21"/>
              </w:rPr>
              <w:t xml:space="preserve"> </w:t>
            </w:r>
            <w:r>
              <w:rPr>
                <w:rFonts w:eastAsia="Calibri"/>
                <w:sz w:val="21"/>
                <w:szCs w:val="21"/>
              </w:rPr>
              <w:t>cash and fixed interest.</w:t>
            </w:r>
            <w:r w:rsidRPr="0083460D">
              <w:rPr>
                <w:rFonts w:eastAsia="Calibri"/>
                <w:sz w:val="21"/>
                <w:szCs w:val="21"/>
              </w:rPr>
              <w:t xml:space="preserve"> </w:t>
            </w:r>
          </w:p>
          <w:p w14:paraId="3877A4D6" w14:textId="1943F2E9" w:rsidR="00876E6C" w:rsidRPr="00A0504E" w:rsidRDefault="00876E6C" w:rsidP="00876E6C">
            <w:pPr>
              <w:numPr>
                <w:ilvl w:val="0"/>
                <w:numId w:val="1"/>
              </w:numPr>
              <w:spacing w:before="120" w:after="120" w:line="276" w:lineRule="auto"/>
              <w:rPr>
                <w:rFonts w:eastAsia="Calibri" w:cs="Segoe UI"/>
                <w:sz w:val="21"/>
                <w:szCs w:val="21"/>
              </w:rPr>
            </w:pPr>
            <w:r w:rsidRPr="72091836">
              <w:rPr>
                <w:rFonts w:eastAsia="Calibri"/>
                <w:sz w:val="21"/>
                <w:szCs w:val="21"/>
              </w:rPr>
              <w:t xml:space="preserve">Your portfolio has been constructed with the objective of producing a return that exceeds </w:t>
            </w:r>
            <w:r>
              <w:rPr>
                <w:rFonts w:eastAsia="Calibri"/>
                <w:sz w:val="21"/>
                <w:szCs w:val="21"/>
              </w:rPr>
              <w:t>the portfolio’s composite multi-asset class growth benchmark over a rolling 7-year period.</w:t>
            </w:r>
          </w:p>
          <w:p w14:paraId="60DE1DAD" w14:textId="0AD56FD7" w:rsidR="00D71E56" w:rsidRDefault="00D71E56" w:rsidP="00D71E56">
            <w:pPr>
              <w:numPr>
                <w:ilvl w:val="0"/>
                <w:numId w:val="1"/>
              </w:numPr>
              <w:spacing w:before="120" w:after="120" w:line="276" w:lineRule="auto"/>
              <w:rPr>
                <w:rFonts w:eastAsia="Calibri"/>
                <w:sz w:val="21"/>
                <w:szCs w:val="21"/>
              </w:rPr>
            </w:pPr>
            <w:r>
              <w:rPr>
                <w:rFonts w:eastAsia="Calibri"/>
                <w:sz w:val="21"/>
                <w:szCs w:val="21"/>
              </w:rPr>
              <w:t>Your</w:t>
            </w:r>
            <w:r w:rsidRPr="00B10C6C">
              <w:rPr>
                <w:rFonts w:eastAsia="Calibri"/>
                <w:sz w:val="21"/>
                <w:szCs w:val="21"/>
              </w:rPr>
              <w:t xml:space="preserve"> portfolio is powered by Morningstar</w:t>
            </w:r>
            <w:r w:rsidR="007F499A">
              <w:rPr>
                <w:rFonts w:eastAsia="Calibri"/>
                <w:sz w:val="21"/>
                <w:szCs w:val="21"/>
              </w:rPr>
              <w:t xml:space="preserve"> Australasia</w:t>
            </w:r>
            <w:r w:rsidRPr="00B10C6C">
              <w:rPr>
                <w:rFonts w:eastAsia="Calibri"/>
                <w:sz w:val="21"/>
                <w:szCs w:val="21"/>
              </w:rPr>
              <w:t xml:space="preserve">’s independent research and portfolio construction capabilities, leveraging </w:t>
            </w:r>
            <w:r>
              <w:rPr>
                <w:rFonts w:eastAsia="Calibri"/>
                <w:sz w:val="21"/>
                <w:szCs w:val="21"/>
              </w:rPr>
              <w:t>their</w:t>
            </w:r>
            <w:r w:rsidRPr="00B10C6C">
              <w:rPr>
                <w:rFonts w:eastAsia="Calibri"/>
                <w:sz w:val="21"/>
                <w:szCs w:val="21"/>
              </w:rPr>
              <w:t xml:space="preserve"> global capabilities and resources.</w:t>
            </w:r>
          </w:p>
          <w:p w14:paraId="6CFA01C6" w14:textId="5132CCB4" w:rsidR="00BC3FB4" w:rsidRDefault="00BC3FB4" w:rsidP="00D008AE">
            <w:pPr>
              <w:numPr>
                <w:ilvl w:val="0"/>
                <w:numId w:val="1"/>
              </w:numPr>
              <w:spacing w:before="120" w:after="120" w:line="276" w:lineRule="auto"/>
              <w:rPr>
                <w:rFonts w:eastAsia="Calibri"/>
                <w:sz w:val="21"/>
                <w:szCs w:val="21"/>
              </w:rPr>
            </w:pPr>
            <w:r>
              <w:rPr>
                <w:rFonts w:eastAsia="Calibri"/>
                <w:sz w:val="21"/>
                <w:szCs w:val="21"/>
              </w:rPr>
              <w:t xml:space="preserve">You are aiming to receive a strong return over the long term and are not overly concerned with protecting your capital from market down turns over the short term. </w:t>
            </w:r>
          </w:p>
          <w:p w14:paraId="222EF402" w14:textId="72A2CF0D" w:rsidR="008D0837" w:rsidRDefault="008D0837" w:rsidP="00D71E56">
            <w:pPr>
              <w:numPr>
                <w:ilvl w:val="0"/>
                <w:numId w:val="1"/>
              </w:numPr>
              <w:spacing w:before="120" w:after="120" w:line="276" w:lineRule="auto"/>
              <w:rPr>
                <w:rFonts w:eastAsia="Calibri"/>
                <w:sz w:val="21"/>
                <w:szCs w:val="21"/>
              </w:rPr>
            </w:pPr>
            <w:r>
              <w:rPr>
                <w:rFonts w:eastAsia="Calibri"/>
                <w:sz w:val="21"/>
                <w:szCs w:val="21"/>
              </w:rPr>
              <w:t>Your p</w:t>
            </w:r>
            <w:r w:rsidRPr="008D0837">
              <w:rPr>
                <w:rFonts w:eastAsia="Calibri"/>
                <w:sz w:val="21"/>
                <w:szCs w:val="21"/>
              </w:rPr>
              <w:t xml:space="preserve">ortfolio has exposure to a diverse mix of managed investments which include primarily growth assets and some exposure to interest-producing assets. Over the long term, </w:t>
            </w:r>
            <w:r>
              <w:rPr>
                <w:rFonts w:eastAsia="Calibri"/>
                <w:sz w:val="21"/>
                <w:szCs w:val="21"/>
              </w:rPr>
              <w:t>your p</w:t>
            </w:r>
            <w:r w:rsidRPr="008D0837">
              <w:rPr>
                <w:rFonts w:eastAsia="Calibri"/>
                <w:sz w:val="21"/>
                <w:szCs w:val="21"/>
              </w:rPr>
              <w:t>ortfolio aims to have a 30% allocation to defensive assets and a 70% allocation to growth assets.</w:t>
            </w:r>
          </w:p>
          <w:p w14:paraId="51CBA0B5" w14:textId="20892E7D" w:rsidR="00D71E56" w:rsidRDefault="00D71E56" w:rsidP="00D71E56">
            <w:pPr>
              <w:numPr>
                <w:ilvl w:val="0"/>
                <w:numId w:val="1"/>
              </w:numPr>
              <w:spacing w:before="120" w:after="120" w:line="276" w:lineRule="auto"/>
              <w:rPr>
                <w:rFonts w:eastAsia="Calibri"/>
                <w:sz w:val="21"/>
                <w:szCs w:val="21"/>
              </w:rPr>
            </w:pPr>
            <w:r>
              <w:rPr>
                <w:rFonts w:eastAsia="Calibri"/>
                <w:sz w:val="21"/>
                <w:szCs w:val="21"/>
              </w:rPr>
              <w:t>Your portfolio will be managed by Morningstar Investment Management, using third-party fund managers who are amongst Morningstar</w:t>
            </w:r>
            <w:r w:rsidR="00A857B7">
              <w:rPr>
                <w:rFonts w:eastAsia="Calibri"/>
                <w:sz w:val="21"/>
                <w:szCs w:val="21"/>
              </w:rPr>
              <w:t xml:space="preserve"> Australasia</w:t>
            </w:r>
            <w:r>
              <w:rPr>
                <w:rFonts w:eastAsia="Calibri"/>
                <w:sz w:val="21"/>
                <w:szCs w:val="21"/>
              </w:rPr>
              <w:t>’s highest rated according to their independent research.</w:t>
            </w:r>
          </w:p>
          <w:p w14:paraId="0BE11CD1" w14:textId="77777777" w:rsidR="00D71E56" w:rsidRDefault="00D71E56" w:rsidP="00D71E56">
            <w:pPr>
              <w:numPr>
                <w:ilvl w:val="0"/>
                <w:numId w:val="1"/>
              </w:numPr>
              <w:spacing w:before="120" w:after="120" w:line="276" w:lineRule="auto"/>
              <w:rPr>
                <w:rFonts w:eastAsia="Calibri"/>
                <w:sz w:val="21"/>
                <w:szCs w:val="21"/>
              </w:rPr>
            </w:pPr>
            <w:r w:rsidRPr="72091836">
              <w:rPr>
                <w:rFonts w:eastAsia="Calibri"/>
                <w:sz w:val="21"/>
                <w:szCs w:val="21"/>
              </w:rPr>
              <w:t>The investment style of your portfolio has been optimised according to the probability of achieving the best performance for the lowest cost.</w:t>
            </w:r>
            <w:r>
              <w:rPr>
                <w:rFonts w:eastAsia="Calibri"/>
                <w:sz w:val="21"/>
                <w:szCs w:val="21"/>
              </w:rPr>
              <w:t xml:space="preserve"> </w:t>
            </w:r>
            <w:r w:rsidRPr="72091836">
              <w:rPr>
                <w:rFonts w:eastAsia="Calibri"/>
                <w:sz w:val="21"/>
                <w:szCs w:val="21"/>
              </w:rPr>
              <w:t xml:space="preserve">Where the likelihood of outperformance of the market is high, you will have an allocation to active managers, where this is low, you will have an allocation to passive managers. </w:t>
            </w:r>
          </w:p>
          <w:p w14:paraId="6259DC5F" w14:textId="561B4854" w:rsidR="00BC3FB4" w:rsidRPr="00E56275" w:rsidRDefault="00D71E56" w:rsidP="00D71E56">
            <w:pPr>
              <w:numPr>
                <w:ilvl w:val="0"/>
                <w:numId w:val="1"/>
              </w:numPr>
              <w:spacing w:before="120" w:after="120" w:line="276" w:lineRule="auto"/>
              <w:rPr>
                <w:rFonts w:eastAsia="Calibri"/>
                <w:sz w:val="21"/>
                <w:szCs w:val="21"/>
              </w:rPr>
            </w:pPr>
            <w:r>
              <w:rPr>
                <w:rFonts w:eastAsia="Calibri"/>
                <w:sz w:val="21"/>
                <w:szCs w:val="21"/>
              </w:rPr>
              <w:t xml:space="preserve">The underlying </w:t>
            </w:r>
            <w:r w:rsidRPr="0078496C">
              <w:rPr>
                <w:rFonts w:eastAsia="Calibri"/>
                <w:sz w:val="21"/>
                <w:szCs w:val="21"/>
              </w:rPr>
              <w:t xml:space="preserve">fund managers, their funds and the construction of </w:t>
            </w:r>
            <w:r>
              <w:rPr>
                <w:rFonts w:eastAsia="Calibri"/>
                <w:sz w:val="21"/>
                <w:szCs w:val="21"/>
              </w:rPr>
              <w:t>your</w:t>
            </w:r>
            <w:r w:rsidRPr="0078496C">
              <w:rPr>
                <w:rFonts w:eastAsia="Calibri"/>
                <w:sz w:val="21"/>
                <w:szCs w:val="21"/>
              </w:rPr>
              <w:t xml:space="preserve"> </w:t>
            </w:r>
            <w:r>
              <w:rPr>
                <w:rFonts w:eastAsia="Calibri"/>
                <w:sz w:val="21"/>
                <w:szCs w:val="21"/>
              </w:rPr>
              <w:t>p</w:t>
            </w:r>
            <w:r w:rsidRPr="0078496C">
              <w:rPr>
                <w:rFonts w:eastAsia="Calibri"/>
                <w:sz w:val="21"/>
                <w:szCs w:val="21"/>
              </w:rPr>
              <w:t xml:space="preserve">ortfolio </w:t>
            </w:r>
            <w:r>
              <w:rPr>
                <w:rFonts w:eastAsia="Calibri"/>
                <w:sz w:val="21"/>
                <w:szCs w:val="21"/>
              </w:rPr>
              <w:t>are</w:t>
            </w:r>
            <w:r w:rsidRPr="0078496C">
              <w:rPr>
                <w:rFonts w:eastAsia="Calibri"/>
                <w:sz w:val="21"/>
                <w:szCs w:val="21"/>
              </w:rPr>
              <w:t xml:space="preserve"> regularly reviewed for suitability and market conditions.</w:t>
            </w:r>
          </w:p>
        </w:tc>
      </w:tr>
      <w:tr w:rsidR="00BC3FB4" w:rsidRPr="0083460D" w14:paraId="6BD4173F" w14:textId="77777777" w:rsidTr="00D008AE">
        <w:tc>
          <w:tcPr>
            <w:tcW w:w="998" w:type="pct"/>
            <w:tcBorders>
              <w:top w:val="single" w:sz="4" w:space="0" w:color="C0C0C0"/>
              <w:bottom w:val="single" w:sz="4" w:space="0" w:color="C0C0C0"/>
            </w:tcBorders>
            <w:shd w:val="clear" w:color="auto" w:fill="auto"/>
          </w:tcPr>
          <w:p w14:paraId="2D1DC925" w14:textId="77777777" w:rsidR="00BC3FB4" w:rsidRPr="0083460D" w:rsidRDefault="00BC3FB4" w:rsidP="00D008AE">
            <w:pPr>
              <w:spacing w:before="120" w:after="120" w:line="276" w:lineRule="auto"/>
              <w:rPr>
                <w:b/>
                <w:color w:val="9E9E9E"/>
                <w:sz w:val="21"/>
                <w:szCs w:val="21"/>
              </w:rPr>
            </w:pPr>
            <w:r w:rsidRPr="0083460D">
              <w:rPr>
                <w:sz w:val="21"/>
                <w:szCs w:val="21"/>
              </w:rPr>
              <w:br w:type="page"/>
            </w:r>
            <w:r w:rsidRPr="0083460D">
              <w:rPr>
                <w:b/>
                <w:color w:val="9E9E9E"/>
                <w:sz w:val="21"/>
                <w:szCs w:val="21"/>
              </w:rPr>
              <w:t>Risks</w:t>
            </w:r>
          </w:p>
        </w:tc>
        <w:tc>
          <w:tcPr>
            <w:tcW w:w="4002" w:type="pct"/>
            <w:tcBorders>
              <w:top w:val="single" w:sz="4" w:space="0" w:color="C0C0C0"/>
              <w:bottom w:val="single" w:sz="4" w:space="0" w:color="C0C0C0"/>
            </w:tcBorders>
            <w:shd w:val="clear" w:color="auto" w:fill="auto"/>
          </w:tcPr>
          <w:p w14:paraId="6ABA5C31" w14:textId="11629D09"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A </w:t>
            </w:r>
            <w:r>
              <w:rPr>
                <w:rFonts w:eastAsia="Calibri" w:cs="Segoe UI"/>
                <w:sz w:val="21"/>
                <w:szCs w:val="21"/>
              </w:rPr>
              <w:t>higher</w:t>
            </w:r>
            <w:r w:rsidRPr="0083460D">
              <w:rPr>
                <w:rFonts w:eastAsia="Calibri" w:cs="Segoe UI"/>
                <w:sz w:val="21"/>
                <w:szCs w:val="21"/>
              </w:rPr>
              <w:t xml:space="preserve"> level of volatility can be expected from time to time</w:t>
            </w:r>
            <w:r>
              <w:rPr>
                <w:rFonts w:eastAsia="Calibri" w:cs="Segoe UI"/>
                <w:sz w:val="21"/>
                <w:szCs w:val="21"/>
              </w:rPr>
              <w:t>,</w:t>
            </w:r>
            <w:r w:rsidRPr="0083460D">
              <w:rPr>
                <w:rFonts w:eastAsia="Calibri" w:cs="Segoe UI"/>
                <w:sz w:val="21"/>
                <w:szCs w:val="21"/>
              </w:rPr>
              <w:t xml:space="preserve"> </w:t>
            </w:r>
            <w:r>
              <w:rPr>
                <w:rFonts w:eastAsia="Calibri" w:cs="Segoe UI"/>
                <w:sz w:val="21"/>
                <w:szCs w:val="21"/>
              </w:rPr>
              <w:t>due to the amount invested in growth asset classes. Generally, it would be expected that this will outperform lower risk profiles over the long term however, it’s important to note, r</w:t>
            </w:r>
            <w:r w:rsidRPr="0083460D">
              <w:rPr>
                <w:rFonts w:eastAsia="Calibri" w:cs="Segoe UI"/>
                <w:sz w:val="21"/>
                <w:szCs w:val="21"/>
              </w:rPr>
              <w:t xml:space="preserve">eturns from the </w:t>
            </w:r>
            <w:r>
              <w:rPr>
                <w:rFonts w:eastAsia="Calibri" w:cs="Segoe UI"/>
                <w:sz w:val="21"/>
                <w:szCs w:val="21"/>
              </w:rPr>
              <w:t>portfolio</w:t>
            </w:r>
            <w:r w:rsidRPr="0083460D">
              <w:rPr>
                <w:rFonts w:eastAsia="Calibri" w:cs="Segoe UI"/>
                <w:sz w:val="21"/>
                <w:szCs w:val="21"/>
              </w:rPr>
              <w:t xml:space="preserve"> are not guaranteed and capital loss is possible.</w:t>
            </w:r>
          </w:p>
          <w:p w14:paraId="0A6FB625"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The recommended investment may underperform </w:t>
            </w:r>
            <w:r>
              <w:rPr>
                <w:rFonts w:eastAsia="Calibri" w:cs="Segoe UI"/>
                <w:sz w:val="21"/>
                <w:szCs w:val="21"/>
              </w:rPr>
              <w:t xml:space="preserve">your </w:t>
            </w:r>
            <w:r w:rsidRPr="0083460D">
              <w:rPr>
                <w:rFonts w:eastAsia="Calibri" w:cs="Segoe UI"/>
                <w:sz w:val="21"/>
                <w:szCs w:val="21"/>
              </w:rPr>
              <w:t>existing portfolio.</w:t>
            </w:r>
          </w:p>
          <w:p w14:paraId="7AAB63F5" w14:textId="77777777" w:rsidR="00BC3FB4" w:rsidRPr="0083460D" w:rsidRDefault="00BC3FB4" w:rsidP="00D008AE">
            <w:pPr>
              <w:numPr>
                <w:ilvl w:val="0"/>
                <w:numId w:val="1"/>
              </w:numPr>
              <w:spacing w:before="120" w:after="120" w:line="276" w:lineRule="auto"/>
              <w:rPr>
                <w:rFonts w:eastAsia="Calibri" w:cs="Segoe UI"/>
                <w:sz w:val="21"/>
                <w:szCs w:val="21"/>
              </w:rPr>
            </w:pPr>
            <w:r>
              <w:rPr>
                <w:rFonts w:eastAsia="Calibri" w:cs="Segoe UI"/>
                <w:sz w:val="21"/>
                <w:szCs w:val="21"/>
              </w:rPr>
              <w:t xml:space="preserve">Investors cannot </w:t>
            </w:r>
            <w:r w:rsidRPr="0083460D">
              <w:rPr>
                <w:rFonts w:eastAsia="Calibri" w:cs="Segoe UI"/>
                <w:sz w:val="21"/>
                <w:szCs w:val="21"/>
              </w:rPr>
              <w:t xml:space="preserve">control financial markets and economic circumstances. Investments with inherent </w:t>
            </w:r>
            <w:r>
              <w:rPr>
                <w:rFonts w:eastAsia="Calibri" w:cs="Segoe UI"/>
                <w:sz w:val="21"/>
                <w:szCs w:val="21"/>
              </w:rPr>
              <w:t>share</w:t>
            </w:r>
            <w:r w:rsidRPr="0083460D">
              <w:rPr>
                <w:rFonts w:eastAsia="Calibri" w:cs="Segoe UI"/>
                <w:sz w:val="21"/>
                <w:szCs w:val="21"/>
              </w:rPr>
              <w:t xml:space="preserve"> </w:t>
            </w:r>
            <w:r>
              <w:rPr>
                <w:rFonts w:eastAsia="Calibri" w:cs="Segoe UI"/>
                <w:sz w:val="21"/>
                <w:szCs w:val="21"/>
              </w:rPr>
              <w:t xml:space="preserve">and property exposures </w:t>
            </w:r>
            <w:r w:rsidRPr="0083460D">
              <w:rPr>
                <w:rFonts w:eastAsia="Calibri" w:cs="Segoe UI"/>
                <w:sz w:val="21"/>
                <w:szCs w:val="21"/>
              </w:rPr>
              <w:t>are volatile by nature as they are not capital guaranteed. The concept of volatility means that investment values can move both up and down. The greater the volatility the more ups and downs. The reward for accepting volatility is likely higher returns over the long term.</w:t>
            </w:r>
          </w:p>
          <w:p w14:paraId="1C26A8E4"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lastRenderedPageBreak/>
              <w:t>All asset classes, other than cash, will inevitably experience periods of negative returns. This is especially true for growth</w:t>
            </w:r>
            <w:r>
              <w:rPr>
                <w:rFonts w:eastAsia="Calibri" w:cs="Segoe UI"/>
                <w:sz w:val="21"/>
                <w:szCs w:val="21"/>
              </w:rPr>
              <w:t>-</w:t>
            </w:r>
            <w:r w:rsidRPr="0083460D">
              <w:rPr>
                <w:rFonts w:eastAsia="Calibri" w:cs="Segoe UI"/>
                <w:sz w:val="21"/>
                <w:szCs w:val="21"/>
              </w:rPr>
              <w:t xml:space="preserve">oriented investments, such as Australian and International shares and property.  However, no one can predict when negative returns will occur, or their duration. The implication of prolonged periods of negative returns for investors is that it can reduce the number of years that your portfolio will </w:t>
            </w:r>
            <w:proofErr w:type="gramStart"/>
            <w:r w:rsidRPr="0083460D">
              <w:rPr>
                <w:rFonts w:eastAsia="Calibri" w:cs="Segoe UI"/>
                <w:sz w:val="21"/>
                <w:szCs w:val="21"/>
              </w:rPr>
              <w:t>last</w:t>
            </w:r>
            <w:proofErr w:type="gramEnd"/>
            <w:r w:rsidRPr="0083460D">
              <w:rPr>
                <w:rFonts w:eastAsia="Calibri" w:cs="Segoe UI"/>
                <w:sz w:val="21"/>
                <w:szCs w:val="21"/>
              </w:rPr>
              <w:t xml:space="preserve"> or you may need to postpone your retirement.</w:t>
            </w:r>
          </w:p>
          <w:p w14:paraId="1229E21C"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You will realise any investment gains</w:t>
            </w:r>
            <w:r>
              <w:rPr>
                <w:rFonts w:eastAsia="Calibri" w:cs="Segoe UI"/>
                <w:sz w:val="21"/>
                <w:szCs w:val="21"/>
              </w:rPr>
              <w:t xml:space="preserve"> and</w:t>
            </w:r>
            <w:r w:rsidRPr="0083460D">
              <w:rPr>
                <w:rFonts w:eastAsia="Calibri" w:cs="Segoe UI"/>
                <w:sz w:val="21"/>
                <w:szCs w:val="21"/>
              </w:rPr>
              <w:t xml:space="preserve"> </w:t>
            </w:r>
            <w:r>
              <w:rPr>
                <w:rFonts w:eastAsia="Calibri" w:cs="Segoe UI"/>
                <w:sz w:val="21"/>
                <w:szCs w:val="21"/>
              </w:rPr>
              <w:t>t</w:t>
            </w:r>
            <w:r w:rsidRPr="0083460D">
              <w:rPr>
                <w:rFonts w:eastAsia="Calibri" w:cs="Segoe UI"/>
                <w:sz w:val="21"/>
                <w:szCs w:val="21"/>
              </w:rPr>
              <w:t xml:space="preserve">here may be tax payable on the capital gains. We strongly recommend that you confirm your tax </w:t>
            </w:r>
            <w:r>
              <w:rPr>
                <w:rFonts w:eastAsia="Calibri" w:cs="Segoe UI"/>
                <w:sz w:val="21"/>
                <w:szCs w:val="21"/>
              </w:rPr>
              <w:t>position</w:t>
            </w:r>
            <w:r w:rsidRPr="0083460D">
              <w:rPr>
                <w:rFonts w:eastAsia="Calibri" w:cs="Segoe UI"/>
                <w:sz w:val="21"/>
                <w:szCs w:val="21"/>
              </w:rPr>
              <w:t xml:space="preserve"> with your accountant.</w:t>
            </w:r>
          </w:p>
        </w:tc>
      </w:tr>
      <w:tr w:rsidR="00BC3FB4" w:rsidRPr="0083460D" w14:paraId="1DC67996" w14:textId="77777777" w:rsidTr="00D008AE">
        <w:tc>
          <w:tcPr>
            <w:tcW w:w="998" w:type="pct"/>
            <w:tcBorders>
              <w:top w:val="single" w:sz="4" w:space="0" w:color="C0C0C0"/>
              <w:bottom w:val="single" w:sz="4" w:space="0" w:color="C0C0C0"/>
            </w:tcBorders>
            <w:shd w:val="clear" w:color="auto" w:fill="auto"/>
          </w:tcPr>
          <w:p w14:paraId="428CCC3D"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lastRenderedPageBreak/>
              <w:t>Disadvantages</w:t>
            </w:r>
          </w:p>
        </w:tc>
        <w:tc>
          <w:tcPr>
            <w:tcW w:w="4002" w:type="pct"/>
            <w:tcBorders>
              <w:top w:val="single" w:sz="4" w:space="0" w:color="C0C0C0"/>
              <w:bottom w:val="single" w:sz="4" w:space="0" w:color="C0C0C0"/>
            </w:tcBorders>
            <w:shd w:val="clear" w:color="auto" w:fill="auto"/>
          </w:tcPr>
          <w:p w14:paraId="2E841FD8" w14:textId="77777777" w:rsidR="00BC3FB4" w:rsidRPr="0083460D" w:rsidRDefault="00BC3FB4" w:rsidP="00D008AE">
            <w:pPr>
              <w:numPr>
                <w:ilvl w:val="0"/>
                <w:numId w:val="1"/>
              </w:numPr>
              <w:spacing w:before="120" w:after="120" w:line="276" w:lineRule="auto"/>
              <w:rPr>
                <w:rFonts w:eastAsia="Calibri" w:cs="Segoe UI"/>
                <w:sz w:val="21"/>
                <w:szCs w:val="21"/>
              </w:rPr>
            </w:pPr>
            <w:r w:rsidRPr="0015078E">
              <w:rPr>
                <w:rFonts w:eastAsia="Calibri" w:cs="Segoe UI"/>
                <w:sz w:val="21"/>
                <w:szCs w:val="21"/>
              </w:rPr>
              <w:t>As your portfolio has been designed for investors who favour stability of capital and lower volatility, potential returns are also lower than more aggressive portfolios.</w:t>
            </w:r>
          </w:p>
        </w:tc>
      </w:tr>
      <w:tr w:rsidR="00BC3FB4" w:rsidRPr="006C1FD8" w14:paraId="4D92FF68" w14:textId="77777777" w:rsidTr="00D008AE">
        <w:tc>
          <w:tcPr>
            <w:tcW w:w="998" w:type="pct"/>
            <w:tcBorders>
              <w:top w:val="single" w:sz="4" w:space="0" w:color="C0C0C0"/>
              <w:bottom w:val="single" w:sz="4" w:space="0" w:color="C0C0C0"/>
            </w:tcBorders>
            <w:shd w:val="clear" w:color="auto" w:fill="auto"/>
          </w:tcPr>
          <w:p w14:paraId="62333A58"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t>Other Considerations</w:t>
            </w:r>
          </w:p>
        </w:tc>
        <w:tc>
          <w:tcPr>
            <w:tcW w:w="4002" w:type="pct"/>
            <w:tcBorders>
              <w:top w:val="single" w:sz="4" w:space="0" w:color="C0C0C0"/>
              <w:bottom w:val="single" w:sz="4" w:space="0" w:color="C0C0C0"/>
            </w:tcBorders>
            <w:shd w:val="clear" w:color="auto" w:fill="auto"/>
          </w:tcPr>
          <w:p w14:paraId="62522D6A" w14:textId="5EB031DC" w:rsidR="00BC3FB4" w:rsidRPr="006C1FD8" w:rsidRDefault="00BC3FB4" w:rsidP="00D008AE">
            <w:pPr>
              <w:numPr>
                <w:ilvl w:val="0"/>
                <w:numId w:val="1"/>
              </w:numPr>
              <w:spacing w:before="120" w:after="120" w:line="276" w:lineRule="auto"/>
              <w:rPr>
                <w:rFonts w:eastAsia="Calibri"/>
                <w:sz w:val="21"/>
                <w:szCs w:val="21"/>
              </w:rPr>
            </w:pPr>
            <w:r w:rsidRPr="006C1FD8">
              <w:rPr>
                <w:rFonts w:eastAsia="Calibri"/>
                <w:sz w:val="21"/>
                <w:szCs w:val="21"/>
              </w:rPr>
              <w:t xml:space="preserve">In general, the Conservative portfolio will hold 30% defensive assets and 70% growth assets; however, the allocations will be actively managed within the allowable ranges depending on market conditions. </w:t>
            </w:r>
          </w:p>
          <w:p w14:paraId="05A5277C" w14:textId="2E421545" w:rsidR="00BC3FB4" w:rsidRPr="006C1FD8" w:rsidRDefault="00BC3FB4"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Your portfolio will be managed by Morningstar who have a highly capable global investment team who specialise in asset allocation, quality stock selection and portfolio construction. </w:t>
            </w:r>
          </w:p>
          <w:p w14:paraId="3DAF0E9A" w14:textId="77777777" w:rsidR="00B228A7" w:rsidRPr="006C1FD8" w:rsidRDefault="00B228A7" w:rsidP="00B228A7">
            <w:pPr>
              <w:numPr>
                <w:ilvl w:val="0"/>
                <w:numId w:val="1"/>
              </w:numPr>
              <w:spacing w:before="120" w:after="120" w:line="276" w:lineRule="auto"/>
              <w:rPr>
                <w:rFonts w:eastAsia="Calibri" w:cs="Segoe UI"/>
                <w:sz w:val="21"/>
                <w:szCs w:val="21"/>
              </w:rPr>
            </w:pPr>
            <w:r w:rsidRPr="006C1FD8">
              <w:rPr>
                <w:rFonts w:eastAsia="Calibri" w:cs="Segoe UI"/>
                <w:sz w:val="21"/>
                <w:szCs w:val="21"/>
              </w:rPr>
              <w:t>In addition, Morningstar Australasia have a global research team, known for their independence, who determine fund ratings on a regular basis.</w:t>
            </w:r>
          </w:p>
          <w:p w14:paraId="619F60AF" w14:textId="77777777" w:rsidR="00EB0F1C" w:rsidRPr="006C1FD8" w:rsidRDefault="00EB0F1C"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Morningstar’s approach within the </w:t>
            </w:r>
            <w:proofErr w:type="spellStart"/>
            <w:r w:rsidRPr="006C1FD8">
              <w:rPr>
                <w:rFonts w:eastAsia="Calibri" w:cs="Segoe UI"/>
                <w:sz w:val="21"/>
                <w:szCs w:val="21"/>
              </w:rPr>
              <w:t>Medalist</w:t>
            </w:r>
            <w:proofErr w:type="spellEnd"/>
            <w:r w:rsidRPr="006C1FD8">
              <w:rPr>
                <w:rFonts w:eastAsia="Calibri" w:cs="Segoe UI"/>
                <w:sz w:val="21"/>
                <w:szCs w:val="21"/>
              </w:rPr>
              <w:t xml:space="preserve"> Core portfolios </w:t>
            </w:r>
            <w:proofErr w:type="gramStart"/>
            <w:r w:rsidRPr="006C1FD8">
              <w:rPr>
                <w:rFonts w:eastAsia="Calibri" w:cs="Segoe UI"/>
                <w:sz w:val="21"/>
                <w:szCs w:val="21"/>
              </w:rPr>
              <w:t>consider</w:t>
            </w:r>
            <w:proofErr w:type="gramEnd"/>
            <w:r w:rsidRPr="006C1FD8">
              <w:rPr>
                <w:rFonts w:eastAsia="Calibri" w:cs="Segoe UI"/>
                <w:sz w:val="21"/>
                <w:szCs w:val="21"/>
              </w:rPr>
              <w:t xml:space="preserve"> the likelihood of active managers to outperform the market on a regular basis. Where outperformance is unlikely, they invest in passive managers to reduce costs to you.</w:t>
            </w:r>
          </w:p>
          <w:p w14:paraId="421DF46A" w14:textId="77777777" w:rsidR="00222FFD" w:rsidRPr="006C1FD8" w:rsidRDefault="00222FFD" w:rsidP="00222FFD">
            <w:pPr>
              <w:numPr>
                <w:ilvl w:val="0"/>
                <w:numId w:val="1"/>
              </w:numPr>
              <w:spacing w:before="120" w:after="120" w:line="276" w:lineRule="auto"/>
              <w:rPr>
                <w:rFonts w:eastAsia="Calibri" w:cs="Segoe UI"/>
                <w:sz w:val="21"/>
                <w:szCs w:val="21"/>
              </w:rPr>
            </w:pPr>
            <w:r>
              <w:rPr>
                <w:rStyle w:val="ui-provider"/>
              </w:rPr>
              <w:t xml:space="preserve">Morningstar's </w:t>
            </w:r>
            <w:proofErr w:type="spellStart"/>
            <w:r>
              <w:rPr>
                <w:rStyle w:val="ui-provider"/>
              </w:rPr>
              <w:t>Medalist</w:t>
            </w:r>
            <w:proofErr w:type="spellEnd"/>
            <w:r>
              <w:rPr>
                <w:rStyle w:val="ui-provider"/>
              </w:rPr>
              <w:t xml:space="preserve"> Core portfolios are based on research provided by Morningstar Australasia's Fund Research team. Morningstar's Manager research team does not received payments from fund managers to rate their</w:t>
            </w:r>
            <w:r w:rsidRPr="006C1FD8">
              <w:rPr>
                <w:rFonts w:eastAsia="Calibri" w:cs="Segoe UI"/>
                <w:sz w:val="21"/>
                <w:szCs w:val="21"/>
              </w:rPr>
              <w:t>, nor does Morningstar Investment Management use any of their own funds or investment vehicles within these portfolios.</w:t>
            </w:r>
          </w:p>
          <w:p w14:paraId="0E2C1E4C" w14:textId="61293A2F" w:rsidR="007D5F05" w:rsidRPr="006C1FD8" w:rsidRDefault="001E2975"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To maintain independence, Morningstar Australasia does not provide qualitative research on Morningstar Investment Management Products.</w:t>
            </w:r>
          </w:p>
        </w:tc>
      </w:tr>
      <w:bookmarkEnd w:id="20"/>
      <w:bookmarkEnd w:id="21"/>
    </w:tbl>
    <w:p w14:paraId="3A4B36B8" w14:textId="77777777" w:rsidR="00A0504E" w:rsidRPr="0083460D" w:rsidRDefault="00A0504E" w:rsidP="00A0504E">
      <w:pPr>
        <w:spacing w:before="120" w:after="120" w:line="276" w:lineRule="auto"/>
        <w:rPr>
          <w:sz w:val="21"/>
          <w:szCs w:val="21"/>
        </w:rPr>
      </w:pPr>
      <w:r w:rsidRPr="0083460D">
        <w:rPr>
          <w:sz w:val="21"/>
          <w:szCs w:val="21"/>
        </w:rPr>
        <w:br w:type="page"/>
      </w:r>
    </w:p>
    <w:p w14:paraId="61BF7CA4" w14:textId="17E16FF6" w:rsidR="00BC3FB4" w:rsidRPr="00A0504E" w:rsidRDefault="00BC3FB4" w:rsidP="00BC3FB4">
      <w:pPr>
        <w:pStyle w:val="Heading3"/>
        <w:rPr>
          <w:rStyle w:val="Strong"/>
          <w:b w:val="0"/>
          <w:bCs w:val="0"/>
        </w:rPr>
      </w:pPr>
      <w:bookmarkStart w:id="22" w:name="_Toc130885783"/>
      <w:bookmarkStart w:id="23" w:name="_Toc94277611"/>
      <w:bookmarkStart w:id="24" w:name="_Toc118898689"/>
      <w:r>
        <w:rPr>
          <w:rStyle w:val="Strong"/>
          <w:b w:val="0"/>
          <w:bCs w:val="0"/>
        </w:rPr>
        <w:lastRenderedPageBreak/>
        <w:t xml:space="preserve">High Growth </w:t>
      </w:r>
      <w:r w:rsidRPr="00A0504E">
        <w:rPr>
          <w:rStyle w:val="Strong"/>
          <w:b w:val="0"/>
          <w:bCs w:val="0"/>
        </w:rPr>
        <w:t>(</w:t>
      </w:r>
      <w:r>
        <w:rPr>
          <w:rStyle w:val="Strong"/>
          <w:b w:val="0"/>
          <w:bCs w:val="0"/>
        </w:rPr>
        <w:t>90</w:t>
      </w:r>
      <w:r w:rsidRPr="00A0504E">
        <w:rPr>
          <w:rStyle w:val="Strong"/>
          <w:b w:val="0"/>
          <w:bCs w:val="0"/>
        </w:rPr>
        <w:t>)</w:t>
      </w:r>
      <w:bookmarkEnd w:id="22"/>
    </w:p>
    <w:tbl>
      <w:tblPr>
        <w:tblW w:w="4988" w:type="pct"/>
        <w:tblLook w:val="0000" w:firstRow="0" w:lastRow="0" w:firstColumn="0" w:lastColumn="0" w:noHBand="0" w:noVBand="0"/>
      </w:tblPr>
      <w:tblGrid>
        <w:gridCol w:w="1797"/>
        <w:gridCol w:w="7207"/>
      </w:tblGrid>
      <w:tr w:rsidR="00BC3FB4" w:rsidRPr="0083460D" w14:paraId="47993B7A" w14:textId="77777777" w:rsidTr="00D008AE">
        <w:tc>
          <w:tcPr>
            <w:tcW w:w="998" w:type="pct"/>
            <w:tcBorders>
              <w:top w:val="single" w:sz="4" w:space="0" w:color="C0C0C0"/>
              <w:bottom w:val="single" w:sz="4" w:space="0" w:color="C0C0C0"/>
            </w:tcBorders>
            <w:shd w:val="clear" w:color="auto" w:fill="auto"/>
          </w:tcPr>
          <w:p w14:paraId="0A1D948B" w14:textId="77777777" w:rsidR="00BC3FB4" w:rsidRPr="0083460D" w:rsidRDefault="00BC3FB4" w:rsidP="00D008AE">
            <w:pPr>
              <w:spacing w:before="120" w:after="120" w:line="276" w:lineRule="auto"/>
              <w:rPr>
                <w:sz w:val="21"/>
                <w:szCs w:val="21"/>
              </w:rPr>
            </w:pPr>
            <w:r w:rsidRPr="0083460D">
              <w:rPr>
                <w:b/>
                <w:color w:val="9E9E9E"/>
                <w:sz w:val="21"/>
                <w:szCs w:val="21"/>
              </w:rPr>
              <w:t>Why</w:t>
            </w:r>
          </w:p>
        </w:tc>
        <w:tc>
          <w:tcPr>
            <w:tcW w:w="4002" w:type="pct"/>
            <w:tcBorders>
              <w:top w:val="single" w:sz="4" w:space="0" w:color="C0C0C0"/>
              <w:bottom w:val="single" w:sz="4" w:space="0" w:color="C0C0C0"/>
            </w:tcBorders>
            <w:shd w:val="clear" w:color="auto" w:fill="auto"/>
          </w:tcPr>
          <w:p w14:paraId="2BD860BB" w14:textId="6758A80F" w:rsidR="00BC3FB4" w:rsidRPr="0083460D" w:rsidRDefault="00BC3FB4" w:rsidP="00D008AE">
            <w:pPr>
              <w:numPr>
                <w:ilvl w:val="0"/>
                <w:numId w:val="1"/>
              </w:numPr>
              <w:spacing w:before="120" w:after="120" w:line="276" w:lineRule="auto"/>
              <w:rPr>
                <w:rFonts w:eastAsia="Calibri"/>
                <w:sz w:val="21"/>
                <w:szCs w:val="21"/>
              </w:rPr>
            </w:pPr>
            <w:r w:rsidRPr="0083460D">
              <w:rPr>
                <w:rFonts w:eastAsia="Calibri"/>
                <w:sz w:val="21"/>
                <w:szCs w:val="21"/>
              </w:rPr>
              <w:t>Your desire is to achieve</w:t>
            </w:r>
            <w:r>
              <w:rPr>
                <w:rFonts w:eastAsia="Calibri"/>
                <w:sz w:val="21"/>
                <w:szCs w:val="21"/>
              </w:rPr>
              <w:t xml:space="preserve"> strong returns</w:t>
            </w:r>
            <w:r w:rsidRPr="0083460D">
              <w:rPr>
                <w:rFonts w:eastAsia="Calibri"/>
                <w:sz w:val="21"/>
                <w:szCs w:val="21"/>
              </w:rPr>
              <w:t xml:space="preserve"> by investing in a portfolio </w:t>
            </w:r>
            <w:r>
              <w:rPr>
                <w:rFonts w:eastAsia="Calibri"/>
                <w:sz w:val="21"/>
                <w:szCs w:val="21"/>
              </w:rPr>
              <w:t xml:space="preserve">holding predominately growth asset classes, like Australian shares, </w:t>
            </w:r>
            <w:proofErr w:type="gramStart"/>
            <w:r>
              <w:rPr>
                <w:rFonts w:eastAsia="Calibri"/>
                <w:sz w:val="21"/>
                <w:szCs w:val="21"/>
              </w:rPr>
              <w:t>property</w:t>
            </w:r>
            <w:proofErr w:type="gramEnd"/>
            <w:r>
              <w:rPr>
                <w:rFonts w:eastAsia="Calibri"/>
                <w:sz w:val="21"/>
                <w:szCs w:val="21"/>
              </w:rPr>
              <w:t xml:space="preserve"> and international shares, </w:t>
            </w:r>
            <w:r w:rsidRPr="0083460D">
              <w:rPr>
                <w:rFonts w:eastAsia="Calibri"/>
                <w:sz w:val="21"/>
                <w:szCs w:val="21"/>
              </w:rPr>
              <w:t>with a small</w:t>
            </w:r>
            <w:r>
              <w:rPr>
                <w:rFonts w:eastAsia="Calibri"/>
                <w:sz w:val="21"/>
                <w:szCs w:val="21"/>
              </w:rPr>
              <w:t>er</w:t>
            </w:r>
            <w:r w:rsidRPr="0083460D">
              <w:rPr>
                <w:rFonts w:eastAsia="Calibri"/>
                <w:sz w:val="21"/>
                <w:szCs w:val="21"/>
              </w:rPr>
              <w:t xml:space="preserve"> proportion of </w:t>
            </w:r>
            <w:r>
              <w:rPr>
                <w:rFonts w:eastAsia="Calibri"/>
                <w:sz w:val="21"/>
                <w:szCs w:val="21"/>
              </w:rPr>
              <w:t>defensive</w:t>
            </w:r>
            <w:r w:rsidRPr="0083460D">
              <w:rPr>
                <w:rFonts w:eastAsia="Calibri"/>
                <w:sz w:val="21"/>
                <w:szCs w:val="21"/>
              </w:rPr>
              <w:t xml:space="preserve"> asset</w:t>
            </w:r>
            <w:r>
              <w:rPr>
                <w:rFonts w:eastAsia="Calibri"/>
                <w:sz w:val="21"/>
                <w:szCs w:val="21"/>
              </w:rPr>
              <w:t xml:space="preserve"> classes, like</w:t>
            </w:r>
            <w:r w:rsidRPr="0083460D">
              <w:rPr>
                <w:rFonts w:eastAsia="Calibri"/>
                <w:sz w:val="21"/>
                <w:szCs w:val="21"/>
              </w:rPr>
              <w:t xml:space="preserve"> </w:t>
            </w:r>
            <w:r>
              <w:rPr>
                <w:rFonts w:eastAsia="Calibri"/>
                <w:sz w:val="21"/>
                <w:szCs w:val="21"/>
              </w:rPr>
              <w:t>cash and fixed interest.</w:t>
            </w:r>
            <w:r w:rsidRPr="0083460D">
              <w:rPr>
                <w:rFonts w:eastAsia="Calibri"/>
                <w:sz w:val="21"/>
                <w:szCs w:val="21"/>
              </w:rPr>
              <w:t xml:space="preserve"> </w:t>
            </w:r>
          </w:p>
          <w:p w14:paraId="3277DC8C" w14:textId="5F161B61" w:rsidR="00876E6C" w:rsidRPr="00A0504E" w:rsidRDefault="00876E6C" w:rsidP="00876E6C">
            <w:pPr>
              <w:numPr>
                <w:ilvl w:val="0"/>
                <w:numId w:val="1"/>
              </w:numPr>
              <w:spacing w:before="120" w:after="120" w:line="276" w:lineRule="auto"/>
              <w:rPr>
                <w:rFonts w:eastAsia="Calibri" w:cs="Segoe UI"/>
                <w:sz w:val="21"/>
                <w:szCs w:val="21"/>
              </w:rPr>
            </w:pPr>
            <w:r w:rsidRPr="72091836">
              <w:rPr>
                <w:rFonts w:eastAsia="Calibri"/>
                <w:sz w:val="21"/>
                <w:szCs w:val="21"/>
              </w:rPr>
              <w:t xml:space="preserve">Your portfolio has been constructed with the objective of producing a return that exceeds </w:t>
            </w:r>
            <w:r>
              <w:rPr>
                <w:rFonts w:eastAsia="Calibri"/>
                <w:sz w:val="21"/>
                <w:szCs w:val="21"/>
              </w:rPr>
              <w:t xml:space="preserve">the portfolio’s composite multi-asset class high growth benchmark over a rolling </w:t>
            </w:r>
            <w:r w:rsidR="00122AF2">
              <w:rPr>
                <w:rFonts w:eastAsia="Calibri"/>
                <w:sz w:val="21"/>
                <w:szCs w:val="21"/>
              </w:rPr>
              <w:t>nine</w:t>
            </w:r>
            <w:r>
              <w:rPr>
                <w:rFonts w:eastAsia="Calibri"/>
                <w:sz w:val="21"/>
                <w:szCs w:val="21"/>
              </w:rPr>
              <w:t>-year period.</w:t>
            </w:r>
          </w:p>
          <w:p w14:paraId="088F07A2" w14:textId="163F269D" w:rsidR="00BC3FB4" w:rsidRDefault="00BC3FB4" w:rsidP="00D008AE">
            <w:pPr>
              <w:numPr>
                <w:ilvl w:val="0"/>
                <w:numId w:val="1"/>
              </w:numPr>
              <w:spacing w:before="120" w:after="120" w:line="276" w:lineRule="auto"/>
              <w:rPr>
                <w:rFonts w:eastAsia="Calibri"/>
                <w:sz w:val="21"/>
                <w:szCs w:val="21"/>
              </w:rPr>
            </w:pPr>
            <w:r>
              <w:rPr>
                <w:rFonts w:eastAsia="Calibri"/>
                <w:sz w:val="21"/>
                <w:szCs w:val="21"/>
              </w:rPr>
              <w:t xml:space="preserve">You are aiming to receive a strong return over the long term and are not concerned with short term market volatility. </w:t>
            </w:r>
          </w:p>
          <w:p w14:paraId="177FA4EF" w14:textId="77777777" w:rsidR="005A5CB0" w:rsidRDefault="005A5CB0" w:rsidP="005A5CB0">
            <w:pPr>
              <w:numPr>
                <w:ilvl w:val="0"/>
                <w:numId w:val="1"/>
              </w:numPr>
              <w:spacing w:before="120" w:after="120" w:line="276" w:lineRule="auto"/>
              <w:rPr>
                <w:rFonts w:eastAsia="Calibri"/>
                <w:sz w:val="21"/>
                <w:szCs w:val="21"/>
              </w:rPr>
            </w:pPr>
            <w:r>
              <w:rPr>
                <w:rFonts w:eastAsia="Calibri"/>
                <w:sz w:val="21"/>
                <w:szCs w:val="21"/>
              </w:rPr>
              <w:t>Your</w:t>
            </w:r>
            <w:r w:rsidRPr="00B10C6C">
              <w:rPr>
                <w:rFonts w:eastAsia="Calibri"/>
                <w:sz w:val="21"/>
                <w:szCs w:val="21"/>
              </w:rPr>
              <w:t xml:space="preserve"> portfolio is powered by Morningstar’s independent research and portfolio construction capabilities, leveraging </w:t>
            </w:r>
            <w:r>
              <w:rPr>
                <w:rFonts w:eastAsia="Calibri"/>
                <w:sz w:val="21"/>
                <w:szCs w:val="21"/>
              </w:rPr>
              <w:t>their</w:t>
            </w:r>
            <w:r w:rsidRPr="00B10C6C">
              <w:rPr>
                <w:rFonts w:eastAsia="Calibri"/>
                <w:sz w:val="21"/>
                <w:szCs w:val="21"/>
              </w:rPr>
              <w:t xml:space="preserve"> global capabilities and resources.</w:t>
            </w:r>
          </w:p>
          <w:p w14:paraId="4C2B65FA" w14:textId="5A95D2F5" w:rsidR="005A5CB0" w:rsidRDefault="001567A3" w:rsidP="005A5CB0">
            <w:pPr>
              <w:numPr>
                <w:ilvl w:val="0"/>
                <w:numId w:val="1"/>
              </w:numPr>
              <w:spacing w:before="120" w:after="120" w:line="276" w:lineRule="auto"/>
              <w:rPr>
                <w:rFonts w:eastAsia="Calibri"/>
                <w:sz w:val="21"/>
                <w:szCs w:val="21"/>
              </w:rPr>
            </w:pPr>
            <w:r>
              <w:rPr>
                <w:rFonts w:eastAsia="Calibri"/>
                <w:sz w:val="21"/>
                <w:szCs w:val="21"/>
              </w:rPr>
              <w:t>Your</w:t>
            </w:r>
            <w:r w:rsidR="00400E37" w:rsidRPr="00400E37">
              <w:rPr>
                <w:rFonts w:eastAsia="Calibri"/>
                <w:sz w:val="21"/>
                <w:szCs w:val="21"/>
              </w:rPr>
              <w:t xml:space="preserve"> portfolio has exposure to a diverse mix of managed investments, which include primarily growth assets and may have some exposure to interest-producing assets. Over the long term, </w:t>
            </w:r>
            <w:r>
              <w:rPr>
                <w:rFonts w:eastAsia="Calibri"/>
                <w:sz w:val="21"/>
                <w:szCs w:val="21"/>
              </w:rPr>
              <w:t>your</w:t>
            </w:r>
            <w:r w:rsidR="00400E37" w:rsidRPr="00400E37">
              <w:rPr>
                <w:rFonts w:eastAsia="Calibri"/>
                <w:sz w:val="21"/>
                <w:szCs w:val="21"/>
              </w:rPr>
              <w:t xml:space="preserve"> </w:t>
            </w:r>
            <w:r>
              <w:rPr>
                <w:rFonts w:eastAsia="Calibri"/>
                <w:sz w:val="21"/>
                <w:szCs w:val="21"/>
              </w:rPr>
              <w:t>p</w:t>
            </w:r>
            <w:r w:rsidR="00400E37" w:rsidRPr="00400E37">
              <w:rPr>
                <w:rFonts w:eastAsia="Calibri"/>
                <w:sz w:val="21"/>
                <w:szCs w:val="21"/>
              </w:rPr>
              <w:t>ortfolio aims to have a 10% allocation to defensive assets and a 90% allocation to growth assets.</w:t>
            </w:r>
          </w:p>
          <w:p w14:paraId="16E72FAE" w14:textId="77777777" w:rsidR="005A5CB0" w:rsidRDefault="005A5CB0" w:rsidP="005A5CB0">
            <w:pPr>
              <w:numPr>
                <w:ilvl w:val="0"/>
                <w:numId w:val="1"/>
              </w:numPr>
              <w:spacing w:before="120" w:after="120" w:line="276" w:lineRule="auto"/>
              <w:rPr>
                <w:rFonts w:eastAsia="Calibri"/>
                <w:sz w:val="21"/>
                <w:szCs w:val="21"/>
              </w:rPr>
            </w:pPr>
            <w:r>
              <w:rPr>
                <w:rFonts w:eastAsia="Calibri"/>
                <w:sz w:val="21"/>
                <w:szCs w:val="21"/>
              </w:rPr>
              <w:t xml:space="preserve">You are aiming to receive a strong return over the long term and are not overly concerned with protecting your capital from market down turns over the short term. </w:t>
            </w:r>
          </w:p>
          <w:p w14:paraId="3E1CEB4C" w14:textId="77777777" w:rsidR="005A5CB0" w:rsidRDefault="005A5CB0" w:rsidP="005A5CB0">
            <w:pPr>
              <w:numPr>
                <w:ilvl w:val="0"/>
                <w:numId w:val="1"/>
              </w:numPr>
              <w:spacing w:before="120" w:after="120" w:line="276" w:lineRule="auto"/>
              <w:rPr>
                <w:rFonts w:eastAsia="Calibri"/>
                <w:sz w:val="21"/>
                <w:szCs w:val="21"/>
              </w:rPr>
            </w:pPr>
            <w:r>
              <w:rPr>
                <w:rFonts w:eastAsia="Calibri"/>
                <w:sz w:val="21"/>
                <w:szCs w:val="21"/>
              </w:rPr>
              <w:t>Your p</w:t>
            </w:r>
            <w:r w:rsidRPr="008D0837">
              <w:rPr>
                <w:rFonts w:eastAsia="Calibri"/>
                <w:sz w:val="21"/>
                <w:szCs w:val="21"/>
              </w:rPr>
              <w:t xml:space="preserve">ortfolio has exposure to a diverse mix of managed investments which include primarily growth assets and some exposure to interest-producing assets. Over the long term, </w:t>
            </w:r>
            <w:r>
              <w:rPr>
                <w:rFonts w:eastAsia="Calibri"/>
                <w:sz w:val="21"/>
                <w:szCs w:val="21"/>
              </w:rPr>
              <w:t>your p</w:t>
            </w:r>
            <w:r w:rsidRPr="008D0837">
              <w:rPr>
                <w:rFonts w:eastAsia="Calibri"/>
                <w:sz w:val="21"/>
                <w:szCs w:val="21"/>
              </w:rPr>
              <w:t>ortfolio aims to have a 30% allocation to defensive assets and a 70% allocation to growth assets.</w:t>
            </w:r>
          </w:p>
          <w:p w14:paraId="767B8837" w14:textId="2F72807A" w:rsidR="005A5CB0" w:rsidRDefault="005A5CB0" w:rsidP="005A5CB0">
            <w:pPr>
              <w:numPr>
                <w:ilvl w:val="0"/>
                <w:numId w:val="1"/>
              </w:numPr>
              <w:spacing w:before="120" w:after="120" w:line="276" w:lineRule="auto"/>
              <w:rPr>
                <w:rFonts w:eastAsia="Calibri"/>
                <w:sz w:val="21"/>
                <w:szCs w:val="21"/>
              </w:rPr>
            </w:pPr>
            <w:r>
              <w:rPr>
                <w:rFonts w:eastAsia="Calibri"/>
                <w:sz w:val="21"/>
                <w:szCs w:val="21"/>
              </w:rPr>
              <w:t>Your portfolio will be managed by Morningstar Investment Management, using third-party fund managers who are amongst Morningstar</w:t>
            </w:r>
            <w:r w:rsidR="00A857B7">
              <w:rPr>
                <w:rFonts w:eastAsia="Calibri"/>
                <w:sz w:val="21"/>
                <w:szCs w:val="21"/>
              </w:rPr>
              <w:t xml:space="preserve"> Australasia</w:t>
            </w:r>
            <w:r>
              <w:rPr>
                <w:rFonts w:eastAsia="Calibri"/>
                <w:sz w:val="21"/>
                <w:szCs w:val="21"/>
              </w:rPr>
              <w:t>’s highest rated according to their independent research.</w:t>
            </w:r>
          </w:p>
          <w:p w14:paraId="7C259C5D" w14:textId="77777777" w:rsidR="005A5CB0" w:rsidRDefault="005A5CB0" w:rsidP="005A5CB0">
            <w:pPr>
              <w:numPr>
                <w:ilvl w:val="0"/>
                <w:numId w:val="1"/>
              </w:numPr>
              <w:spacing w:before="120" w:after="120" w:line="276" w:lineRule="auto"/>
              <w:rPr>
                <w:rFonts w:eastAsia="Calibri"/>
                <w:sz w:val="21"/>
                <w:szCs w:val="21"/>
              </w:rPr>
            </w:pPr>
            <w:r w:rsidRPr="72091836">
              <w:rPr>
                <w:rFonts w:eastAsia="Calibri"/>
                <w:sz w:val="21"/>
                <w:szCs w:val="21"/>
              </w:rPr>
              <w:t>The investment style of your portfolio has been optimised according to the probability of achieving the best performance for the lowest cost.</w:t>
            </w:r>
            <w:r>
              <w:rPr>
                <w:rFonts w:eastAsia="Calibri"/>
                <w:sz w:val="21"/>
                <w:szCs w:val="21"/>
              </w:rPr>
              <w:t xml:space="preserve"> </w:t>
            </w:r>
            <w:r w:rsidRPr="72091836">
              <w:rPr>
                <w:rFonts w:eastAsia="Calibri"/>
                <w:sz w:val="21"/>
                <w:szCs w:val="21"/>
              </w:rPr>
              <w:t xml:space="preserve">Where the likelihood of outperformance of the market is high, you will have an allocation to active managers, where this is low, you will have an allocation to passive managers. </w:t>
            </w:r>
          </w:p>
          <w:p w14:paraId="437DAE6C" w14:textId="49EC9BB0" w:rsidR="00BC3FB4" w:rsidRPr="00E56275" w:rsidRDefault="005A5CB0" w:rsidP="005A5CB0">
            <w:pPr>
              <w:numPr>
                <w:ilvl w:val="0"/>
                <w:numId w:val="1"/>
              </w:numPr>
              <w:spacing w:before="120" w:after="120" w:line="276" w:lineRule="auto"/>
              <w:rPr>
                <w:rFonts w:eastAsia="Calibri"/>
                <w:sz w:val="21"/>
                <w:szCs w:val="21"/>
              </w:rPr>
            </w:pPr>
            <w:r>
              <w:rPr>
                <w:rFonts w:eastAsia="Calibri"/>
                <w:sz w:val="21"/>
                <w:szCs w:val="21"/>
              </w:rPr>
              <w:t xml:space="preserve">The underlying </w:t>
            </w:r>
            <w:r w:rsidRPr="0078496C">
              <w:rPr>
                <w:rFonts w:eastAsia="Calibri"/>
                <w:sz w:val="21"/>
                <w:szCs w:val="21"/>
              </w:rPr>
              <w:t xml:space="preserve">fund managers, their funds and the construction of </w:t>
            </w:r>
            <w:r>
              <w:rPr>
                <w:rFonts w:eastAsia="Calibri"/>
                <w:sz w:val="21"/>
                <w:szCs w:val="21"/>
              </w:rPr>
              <w:t>your</w:t>
            </w:r>
            <w:r w:rsidRPr="0078496C">
              <w:rPr>
                <w:rFonts w:eastAsia="Calibri"/>
                <w:sz w:val="21"/>
                <w:szCs w:val="21"/>
              </w:rPr>
              <w:t xml:space="preserve"> </w:t>
            </w:r>
            <w:r>
              <w:rPr>
                <w:rFonts w:eastAsia="Calibri"/>
                <w:sz w:val="21"/>
                <w:szCs w:val="21"/>
              </w:rPr>
              <w:t>p</w:t>
            </w:r>
            <w:r w:rsidRPr="0078496C">
              <w:rPr>
                <w:rFonts w:eastAsia="Calibri"/>
                <w:sz w:val="21"/>
                <w:szCs w:val="21"/>
              </w:rPr>
              <w:t xml:space="preserve">ortfolio </w:t>
            </w:r>
            <w:r>
              <w:rPr>
                <w:rFonts w:eastAsia="Calibri"/>
                <w:sz w:val="21"/>
                <w:szCs w:val="21"/>
              </w:rPr>
              <w:t>are</w:t>
            </w:r>
            <w:r w:rsidRPr="0078496C">
              <w:rPr>
                <w:rFonts w:eastAsia="Calibri"/>
                <w:sz w:val="21"/>
                <w:szCs w:val="21"/>
              </w:rPr>
              <w:t xml:space="preserve"> regularly reviewed for suitability and market conditions.</w:t>
            </w:r>
          </w:p>
        </w:tc>
      </w:tr>
      <w:tr w:rsidR="00BC3FB4" w:rsidRPr="0083460D" w14:paraId="0588CAA9" w14:textId="77777777" w:rsidTr="00D008AE">
        <w:tc>
          <w:tcPr>
            <w:tcW w:w="998" w:type="pct"/>
            <w:tcBorders>
              <w:top w:val="single" w:sz="4" w:space="0" w:color="C0C0C0"/>
              <w:bottom w:val="single" w:sz="4" w:space="0" w:color="C0C0C0"/>
            </w:tcBorders>
            <w:shd w:val="clear" w:color="auto" w:fill="auto"/>
          </w:tcPr>
          <w:p w14:paraId="5C8B93C8" w14:textId="77777777" w:rsidR="00BC3FB4" w:rsidRPr="0083460D" w:rsidRDefault="00BC3FB4" w:rsidP="00D008AE">
            <w:pPr>
              <w:spacing w:before="120" w:after="120" w:line="276" w:lineRule="auto"/>
              <w:rPr>
                <w:b/>
                <w:color w:val="9E9E9E"/>
                <w:sz w:val="21"/>
                <w:szCs w:val="21"/>
              </w:rPr>
            </w:pPr>
            <w:r w:rsidRPr="0083460D">
              <w:rPr>
                <w:sz w:val="21"/>
                <w:szCs w:val="21"/>
              </w:rPr>
              <w:br w:type="page"/>
            </w:r>
            <w:r w:rsidRPr="0083460D">
              <w:rPr>
                <w:b/>
                <w:color w:val="9E9E9E"/>
                <w:sz w:val="21"/>
                <w:szCs w:val="21"/>
              </w:rPr>
              <w:t>Risks</w:t>
            </w:r>
          </w:p>
        </w:tc>
        <w:tc>
          <w:tcPr>
            <w:tcW w:w="4002" w:type="pct"/>
            <w:tcBorders>
              <w:top w:val="single" w:sz="4" w:space="0" w:color="C0C0C0"/>
              <w:bottom w:val="single" w:sz="4" w:space="0" w:color="C0C0C0"/>
            </w:tcBorders>
            <w:shd w:val="clear" w:color="auto" w:fill="auto"/>
          </w:tcPr>
          <w:p w14:paraId="71B13F0A"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A </w:t>
            </w:r>
            <w:r>
              <w:rPr>
                <w:rFonts w:eastAsia="Calibri" w:cs="Segoe UI"/>
                <w:sz w:val="21"/>
                <w:szCs w:val="21"/>
              </w:rPr>
              <w:t>higher</w:t>
            </w:r>
            <w:r w:rsidRPr="0083460D">
              <w:rPr>
                <w:rFonts w:eastAsia="Calibri" w:cs="Segoe UI"/>
                <w:sz w:val="21"/>
                <w:szCs w:val="21"/>
              </w:rPr>
              <w:t xml:space="preserve"> level of volatility can be expected from time to time</w:t>
            </w:r>
            <w:r>
              <w:rPr>
                <w:rFonts w:eastAsia="Calibri" w:cs="Segoe UI"/>
                <w:sz w:val="21"/>
                <w:szCs w:val="21"/>
              </w:rPr>
              <w:t>,</w:t>
            </w:r>
            <w:r w:rsidRPr="0083460D">
              <w:rPr>
                <w:rFonts w:eastAsia="Calibri" w:cs="Segoe UI"/>
                <w:sz w:val="21"/>
                <w:szCs w:val="21"/>
              </w:rPr>
              <w:t xml:space="preserve"> </w:t>
            </w:r>
            <w:r>
              <w:rPr>
                <w:rFonts w:eastAsia="Calibri" w:cs="Segoe UI"/>
                <w:sz w:val="21"/>
                <w:szCs w:val="21"/>
              </w:rPr>
              <w:t>due to the amount invested in growth asset classes. Generally, it would be expected that this will outperform lower risk profiles over the long term however, it’s important to note, r</w:t>
            </w:r>
            <w:r w:rsidRPr="0083460D">
              <w:rPr>
                <w:rFonts w:eastAsia="Calibri" w:cs="Segoe UI"/>
                <w:sz w:val="21"/>
                <w:szCs w:val="21"/>
              </w:rPr>
              <w:t xml:space="preserve">eturns from the </w:t>
            </w:r>
            <w:r>
              <w:rPr>
                <w:rFonts w:eastAsia="Calibri" w:cs="Segoe UI"/>
                <w:sz w:val="21"/>
                <w:szCs w:val="21"/>
              </w:rPr>
              <w:t>portfolio</w:t>
            </w:r>
            <w:r w:rsidRPr="0083460D">
              <w:rPr>
                <w:rFonts w:eastAsia="Calibri" w:cs="Segoe UI"/>
                <w:sz w:val="21"/>
                <w:szCs w:val="21"/>
              </w:rPr>
              <w:t xml:space="preserve"> are not guaranteed and capital loss is possible.</w:t>
            </w:r>
          </w:p>
          <w:p w14:paraId="37CC453D"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lastRenderedPageBreak/>
              <w:t xml:space="preserve">The recommended investment may underperform </w:t>
            </w:r>
            <w:r>
              <w:rPr>
                <w:rFonts w:eastAsia="Calibri" w:cs="Segoe UI"/>
                <w:sz w:val="21"/>
                <w:szCs w:val="21"/>
              </w:rPr>
              <w:t xml:space="preserve">your </w:t>
            </w:r>
            <w:r w:rsidRPr="0083460D">
              <w:rPr>
                <w:rFonts w:eastAsia="Calibri" w:cs="Segoe UI"/>
                <w:sz w:val="21"/>
                <w:szCs w:val="21"/>
              </w:rPr>
              <w:t>existing portfolio.</w:t>
            </w:r>
          </w:p>
          <w:p w14:paraId="32891080" w14:textId="77777777" w:rsidR="00BC3FB4" w:rsidRPr="0083460D" w:rsidRDefault="00BC3FB4" w:rsidP="00D008AE">
            <w:pPr>
              <w:numPr>
                <w:ilvl w:val="0"/>
                <w:numId w:val="1"/>
              </w:numPr>
              <w:spacing w:before="120" w:after="120" w:line="276" w:lineRule="auto"/>
              <w:rPr>
                <w:rFonts w:eastAsia="Calibri" w:cs="Segoe UI"/>
                <w:sz w:val="21"/>
                <w:szCs w:val="21"/>
              </w:rPr>
            </w:pPr>
            <w:r>
              <w:rPr>
                <w:rFonts w:eastAsia="Calibri" w:cs="Segoe UI"/>
                <w:sz w:val="21"/>
                <w:szCs w:val="21"/>
              </w:rPr>
              <w:t xml:space="preserve">Investors cannot </w:t>
            </w:r>
            <w:r w:rsidRPr="0083460D">
              <w:rPr>
                <w:rFonts w:eastAsia="Calibri" w:cs="Segoe UI"/>
                <w:sz w:val="21"/>
                <w:szCs w:val="21"/>
              </w:rPr>
              <w:t xml:space="preserve">control financial markets and economic circumstances. Investments with inherent </w:t>
            </w:r>
            <w:r>
              <w:rPr>
                <w:rFonts w:eastAsia="Calibri" w:cs="Segoe UI"/>
                <w:sz w:val="21"/>
                <w:szCs w:val="21"/>
              </w:rPr>
              <w:t>share</w:t>
            </w:r>
            <w:r w:rsidRPr="0083460D">
              <w:rPr>
                <w:rFonts w:eastAsia="Calibri" w:cs="Segoe UI"/>
                <w:sz w:val="21"/>
                <w:szCs w:val="21"/>
              </w:rPr>
              <w:t xml:space="preserve"> </w:t>
            </w:r>
            <w:r>
              <w:rPr>
                <w:rFonts w:eastAsia="Calibri" w:cs="Segoe UI"/>
                <w:sz w:val="21"/>
                <w:szCs w:val="21"/>
              </w:rPr>
              <w:t xml:space="preserve">and property exposures </w:t>
            </w:r>
            <w:r w:rsidRPr="0083460D">
              <w:rPr>
                <w:rFonts w:eastAsia="Calibri" w:cs="Segoe UI"/>
                <w:sz w:val="21"/>
                <w:szCs w:val="21"/>
              </w:rPr>
              <w:t>are volatile by nature as they are not capital guaranteed. The concept of volatility means that investment values can move both up and down. The greater the volatility the more ups and downs. The reward for accepting volatility is likely higher returns over the long term.</w:t>
            </w:r>
          </w:p>
          <w:p w14:paraId="4F4AC216"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All asset classes, other than cash, will inevitably experience periods of negative returns. This is especially true for growth</w:t>
            </w:r>
            <w:r>
              <w:rPr>
                <w:rFonts w:eastAsia="Calibri" w:cs="Segoe UI"/>
                <w:sz w:val="21"/>
                <w:szCs w:val="21"/>
              </w:rPr>
              <w:t>-</w:t>
            </w:r>
            <w:r w:rsidRPr="0083460D">
              <w:rPr>
                <w:rFonts w:eastAsia="Calibri" w:cs="Segoe UI"/>
                <w:sz w:val="21"/>
                <w:szCs w:val="21"/>
              </w:rPr>
              <w:t xml:space="preserve">oriented investments, such as Australian and International shares and property.  However, no one can predict when negative returns will occur, or their duration. The implication of prolonged periods of negative returns for investors is that it can reduce the number of years that your portfolio will </w:t>
            </w:r>
            <w:proofErr w:type="gramStart"/>
            <w:r w:rsidRPr="0083460D">
              <w:rPr>
                <w:rFonts w:eastAsia="Calibri" w:cs="Segoe UI"/>
                <w:sz w:val="21"/>
                <w:szCs w:val="21"/>
              </w:rPr>
              <w:t>last</w:t>
            </w:r>
            <w:proofErr w:type="gramEnd"/>
            <w:r w:rsidRPr="0083460D">
              <w:rPr>
                <w:rFonts w:eastAsia="Calibri" w:cs="Segoe UI"/>
                <w:sz w:val="21"/>
                <w:szCs w:val="21"/>
              </w:rPr>
              <w:t xml:space="preserve"> or you may need to postpone your retirement.</w:t>
            </w:r>
          </w:p>
          <w:p w14:paraId="020499B1"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You will realise any investment gains</w:t>
            </w:r>
            <w:r>
              <w:rPr>
                <w:rFonts w:eastAsia="Calibri" w:cs="Segoe UI"/>
                <w:sz w:val="21"/>
                <w:szCs w:val="21"/>
              </w:rPr>
              <w:t xml:space="preserve"> and</w:t>
            </w:r>
            <w:r w:rsidRPr="0083460D">
              <w:rPr>
                <w:rFonts w:eastAsia="Calibri" w:cs="Segoe UI"/>
                <w:sz w:val="21"/>
                <w:szCs w:val="21"/>
              </w:rPr>
              <w:t xml:space="preserve"> </w:t>
            </w:r>
            <w:r>
              <w:rPr>
                <w:rFonts w:eastAsia="Calibri" w:cs="Segoe UI"/>
                <w:sz w:val="21"/>
                <w:szCs w:val="21"/>
              </w:rPr>
              <w:t>t</w:t>
            </w:r>
            <w:r w:rsidRPr="0083460D">
              <w:rPr>
                <w:rFonts w:eastAsia="Calibri" w:cs="Segoe UI"/>
                <w:sz w:val="21"/>
                <w:szCs w:val="21"/>
              </w:rPr>
              <w:t xml:space="preserve">here may be tax payable on the capital gains. We strongly recommend that you confirm your tax </w:t>
            </w:r>
            <w:r>
              <w:rPr>
                <w:rFonts w:eastAsia="Calibri" w:cs="Segoe UI"/>
                <w:sz w:val="21"/>
                <w:szCs w:val="21"/>
              </w:rPr>
              <w:t>position</w:t>
            </w:r>
            <w:r w:rsidRPr="0083460D">
              <w:rPr>
                <w:rFonts w:eastAsia="Calibri" w:cs="Segoe UI"/>
                <w:sz w:val="21"/>
                <w:szCs w:val="21"/>
              </w:rPr>
              <w:t xml:space="preserve"> with your accountant.</w:t>
            </w:r>
          </w:p>
        </w:tc>
      </w:tr>
      <w:tr w:rsidR="00BC3FB4" w:rsidRPr="0083460D" w14:paraId="63769EB1" w14:textId="77777777" w:rsidTr="00D008AE">
        <w:tc>
          <w:tcPr>
            <w:tcW w:w="998" w:type="pct"/>
            <w:tcBorders>
              <w:top w:val="single" w:sz="4" w:space="0" w:color="C0C0C0"/>
              <w:bottom w:val="single" w:sz="4" w:space="0" w:color="C0C0C0"/>
            </w:tcBorders>
            <w:shd w:val="clear" w:color="auto" w:fill="auto"/>
          </w:tcPr>
          <w:p w14:paraId="6BD36114"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lastRenderedPageBreak/>
              <w:t>Disadvantages</w:t>
            </w:r>
          </w:p>
        </w:tc>
        <w:tc>
          <w:tcPr>
            <w:tcW w:w="4002" w:type="pct"/>
            <w:tcBorders>
              <w:top w:val="single" w:sz="4" w:space="0" w:color="C0C0C0"/>
              <w:bottom w:val="single" w:sz="4" w:space="0" w:color="C0C0C0"/>
            </w:tcBorders>
            <w:shd w:val="clear" w:color="auto" w:fill="auto"/>
          </w:tcPr>
          <w:p w14:paraId="27402921" w14:textId="77777777" w:rsidR="00BC3FB4" w:rsidRPr="0083460D" w:rsidRDefault="00BC3FB4" w:rsidP="00D008AE">
            <w:pPr>
              <w:numPr>
                <w:ilvl w:val="0"/>
                <w:numId w:val="1"/>
              </w:numPr>
              <w:spacing w:before="120" w:after="120" w:line="276" w:lineRule="auto"/>
              <w:rPr>
                <w:rFonts w:eastAsia="Calibri" w:cs="Segoe UI"/>
                <w:sz w:val="21"/>
                <w:szCs w:val="21"/>
              </w:rPr>
            </w:pPr>
            <w:r w:rsidRPr="0015078E">
              <w:rPr>
                <w:rFonts w:eastAsia="Calibri" w:cs="Segoe UI"/>
                <w:sz w:val="21"/>
                <w:szCs w:val="21"/>
              </w:rPr>
              <w:t>As your portfolio has been designed for investors who favour stability of capital and lower volatility, potential returns are also lower than more aggressive portfolios.</w:t>
            </w:r>
          </w:p>
        </w:tc>
      </w:tr>
      <w:tr w:rsidR="00BC3FB4" w:rsidRPr="006C1FD8" w14:paraId="469CE792" w14:textId="77777777" w:rsidTr="00D008AE">
        <w:tc>
          <w:tcPr>
            <w:tcW w:w="998" w:type="pct"/>
            <w:tcBorders>
              <w:top w:val="single" w:sz="4" w:space="0" w:color="C0C0C0"/>
              <w:bottom w:val="single" w:sz="4" w:space="0" w:color="C0C0C0"/>
            </w:tcBorders>
            <w:shd w:val="clear" w:color="auto" w:fill="auto"/>
          </w:tcPr>
          <w:p w14:paraId="58B2E5FC"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t>Other Considerations</w:t>
            </w:r>
          </w:p>
        </w:tc>
        <w:tc>
          <w:tcPr>
            <w:tcW w:w="4002" w:type="pct"/>
            <w:tcBorders>
              <w:top w:val="single" w:sz="4" w:space="0" w:color="C0C0C0"/>
              <w:bottom w:val="single" w:sz="4" w:space="0" w:color="C0C0C0"/>
            </w:tcBorders>
            <w:shd w:val="clear" w:color="auto" w:fill="auto"/>
          </w:tcPr>
          <w:p w14:paraId="622DCDC9" w14:textId="27F59BEE" w:rsidR="00BC3FB4" w:rsidRPr="006C1FD8" w:rsidRDefault="00BC3FB4" w:rsidP="00D008AE">
            <w:pPr>
              <w:numPr>
                <w:ilvl w:val="0"/>
                <w:numId w:val="1"/>
              </w:numPr>
              <w:spacing w:before="120" w:after="120" w:line="276" w:lineRule="auto"/>
              <w:rPr>
                <w:rFonts w:eastAsia="Calibri"/>
                <w:sz w:val="21"/>
                <w:szCs w:val="21"/>
              </w:rPr>
            </w:pPr>
            <w:r w:rsidRPr="006C1FD8">
              <w:rPr>
                <w:rFonts w:eastAsia="Calibri"/>
                <w:sz w:val="21"/>
                <w:szCs w:val="21"/>
              </w:rPr>
              <w:t xml:space="preserve">In general, the Conservative portfolio will hold 10% defensive assets and 90% growth assets; however, the allocations will be actively managed within the allowable ranges depending on market conditions. </w:t>
            </w:r>
          </w:p>
          <w:p w14:paraId="123C7EAD" w14:textId="566BE1CD" w:rsidR="00BC3FB4" w:rsidRPr="006C1FD8" w:rsidRDefault="00BC3FB4"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Your portfolio will be managed by Morningstar who have a highly capable global investment team who specialise in asset allocation, quality stock selection and portfolio construction. </w:t>
            </w:r>
          </w:p>
          <w:p w14:paraId="0A1137FB" w14:textId="51DB4AA3" w:rsidR="00477324" w:rsidRPr="006C1FD8" w:rsidRDefault="00477324" w:rsidP="00477324">
            <w:pPr>
              <w:numPr>
                <w:ilvl w:val="0"/>
                <w:numId w:val="1"/>
              </w:numPr>
              <w:spacing w:before="120" w:after="120" w:line="276" w:lineRule="auto"/>
              <w:rPr>
                <w:rFonts w:eastAsia="Calibri" w:cs="Segoe UI"/>
                <w:sz w:val="21"/>
                <w:szCs w:val="21"/>
              </w:rPr>
            </w:pPr>
            <w:r w:rsidRPr="006C1FD8">
              <w:rPr>
                <w:rFonts w:eastAsia="Calibri" w:cs="Segoe UI"/>
                <w:sz w:val="21"/>
                <w:szCs w:val="21"/>
              </w:rPr>
              <w:t>In addition, Morningstar Australasia have a global research team, known for their independence, who determine fund ratings on a regular basis.</w:t>
            </w:r>
            <w:r w:rsidR="00B228A7" w:rsidRPr="006C1FD8">
              <w:rPr>
                <w:rFonts w:eastAsia="Calibri" w:cs="Segoe UI"/>
                <w:sz w:val="21"/>
                <w:szCs w:val="21"/>
              </w:rPr>
              <w:t xml:space="preserve"> </w:t>
            </w:r>
          </w:p>
          <w:p w14:paraId="39260231" w14:textId="77777777" w:rsidR="00EB0F1C" w:rsidRPr="006C1FD8" w:rsidRDefault="00EB0F1C"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Morningstar’s approach within the </w:t>
            </w:r>
            <w:proofErr w:type="spellStart"/>
            <w:r w:rsidRPr="006C1FD8">
              <w:rPr>
                <w:rFonts w:eastAsia="Calibri" w:cs="Segoe UI"/>
                <w:sz w:val="21"/>
                <w:szCs w:val="21"/>
              </w:rPr>
              <w:t>Medalist</w:t>
            </w:r>
            <w:proofErr w:type="spellEnd"/>
            <w:r w:rsidRPr="006C1FD8">
              <w:rPr>
                <w:rFonts w:eastAsia="Calibri" w:cs="Segoe UI"/>
                <w:sz w:val="21"/>
                <w:szCs w:val="21"/>
              </w:rPr>
              <w:t xml:space="preserve"> Core portfolios </w:t>
            </w:r>
            <w:proofErr w:type="gramStart"/>
            <w:r w:rsidRPr="006C1FD8">
              <w:rPr>
                <w:rFonts w:eastAsia="Calibri" w:cs="Segoe UI"/>
                <w:sz w:val="21"/>
                <w:szCs w:val="21"/>
              </w:rPr>
              <w:t>consider</w:t>
            </w:r>
            <w:proofErr w:type="gramEnd"/>
            <w:r w:rsidRPr="006C1FD8">
              <w:rPr>
                <w:rFonts w:eastAsia="Calibri" w:cs="Segoe UI"/>
                <w:sz w:val="21"/>
                <w:szCs w:val="21"/>
              </w:rPr>
              <w:t xml:space="preserve"> the likelihood of active managers to outperform the market on a regular basis. Where outperformance is unlikely, they invest in passive managers to reduce costs to you.</w:t>
            </w:r>
          </w:p>
          <w:p w14:paraId="123663DF" w14:textId="77777777" w:rsidR="00222FFD" w:rsidRPr="006C1FD8" w:rsidRDefault="00222FFD" w:rsidP="00222FFD">
            <w:pPr>
              <w:numPr>
                <w:ilvl w:val="0"/>
                <w:numId w:val="1"/>
              </w:numPr>
              <w:spacing w:before="120" w:after="120" w:line="276" w:lineRule="auto"/>
              <w:rPr>
                <w:rFonts w:eastAsia="Calibri" w:cs="Segoe UI"/>
                <w:sz w:val="21"/>
                <w:szCs w:val="21"/>
              </w:rPr>
            </w:pPr>
            <w:r>
              <w:rPr>
                <w:rStyle w:val="ui-provider"/>
              </w:rPr>
              <w:t xml:space="preserve">Morningstar's </w:t>
            </w:r>
            <w:proofErr w:type="spellStart"/>
            <w:r>
              <w:rPr>
                <w:rStyle w:val="ui-provider"/>
              </w:rPr>
              <w:t>Medalist</w:t>
            </w:r>
            <w:proofErr w:type="spellEnd"/>
            <w:r>
              <w:rPr>
                <w:rStyle w:val="ui-provider"/>
              </w:rPr>
              <w:t xml:space="preserve"> Core portfolios are based on research provided by Morningstar Australasia's Fund Research team. Morningstar's Manager research team does not received payments from fund managers to rate their</w:t>
            </w:r>
            <w:r w:rsidRPr="006C1FD8">
              <w:rPr>
                <w:rFonts w:eastAsia="Calibri" w:cs="Segoe UI"/>
                <w:sz w:val="21"/>
                <w:szCs w:val="21"/>
              </w:rPr>
              <w:t>, nor does Morningstar Investment Management use any of their own funds or investment vehicles within these portfolios.</w:t>
            </w:r>
          </w:p>
          <w:p w14:paraId="2F8619EA" w14:textId="08C56010" w:rsidR="007D5F05" w:rsidRPr="006C1FD8" w:rsidRDefault="001E2975"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To maintain independence, Morningstar Australasia does not provide qualitative research on Morningstar Investment Management Products.</w:t>
            </w:r>
          </w:p>
        </w:tc>
      </w:tr>
      <w:bookmarkEnd w:id="23"/>
      <w:bookmarkEnd w:id="24"/>
    </w:tbl>
    <w:p w14:paraId="4EBB8A41" w14:textId="77777777" w:rsidR="00BC3FB4" w:rsidRDefault="00BC3FB4">
      <w:pPr>
        <w:rPr>
          <w:rFonts w:asciiTheme="majorHAnsi" w:eastAsiaTheme="majorEastAsia" w:hAnsiTheme="majorHAnsi" w:cstheme="majorBidi"/>
          <w:color w:val="1F3763" w:themeColor="accent1" w:themeShade="7F"/>
          <w:sz w:val="24"/>
          <w:szCs w:val="24"/>
        </w:rPr>
      </w:pPr>
      <w:r>
        <w:lastRenderedPageBreak/>
        <w:br w:type="page"/>
      </w:r>
    </w:p>
    <w:p w14:paraId="0BB3BA21" w14:textId="130E114C" w:rsidR="00BC3FB4" w:rsidRPr="00A0504E" w:rsidRDefault="00BC3FB4" w:rsidP="00BC3FB4">
      <w:pPr>
        <w:pStyle w:val="Heading3"/>
        <w:rPr>
          <w:rStyle w:val="Strong"/>
          <w:b w:val="0"/>
          <w:bCs w:val="0"/>
        </w:rPr>
      </w:pPr>
      <w:bookmarkStart w:id="25" w:name="_Toc130885784"/>
      <w:r w:rsidRPr="72091836">
        <w:rPr>
          <w:rStyle w:val="Strong"/>
          <w:b w:val="0"/>
          <w:bCs w:val="0"/>
        </w:rPr>
        <w:lastRenderedPageBreak/>
        <w:t>All Growth (98)</w:t>
      </w:r>
      <w:bookmarkEnd w:id="25"/>
    </w:p>
    <w:tbl>
      <w:tblPr>
        <w:tblW w:w="4988" w:type="pct"/>
        <w:tblLook w:val="0000" w:firstRow="0" w:lastRow="0" w:firstColumn="0" w:lastColumn="0" w:noHBand="0" w:noVBand="0"/>
      </w:tblPr>
      <w:tblGrid>
        <w:gridCol w:w="1797"/>
        <w:gridCol w:w="7207"/>
      </w:tblGrid>
      <w:tr w:rsidR="00BC3FB4" w:rsidRPr="0083460D" w14:paraId="7F23EF06" w14:textId="77777777" w:rsidTr="00D008AE">
        <w:tc>
          <w:tcPr>
            <w:tcW w:w="998" w:type="pct"/>
            <w:tcBorders>
              <w:top w:val="single" w:sz="4" w:space="0" w:color="C0C0C0"/>
              <w:bottom w:val="single" w:sz="4" w:space="0" w:color="C0C0C0"/>
            </w:tcBorders>
            <w:shd w:val="clear" w:color="auto" w:fill="auto"/>
          </w:tcPr>
          <w:p w14:paraId="08F847A7" w14:textId="77777777" w:rsidR="00BC3FB4" w:rsidRPr="0083460D" w:rsidRDefault="00BC3FB4" w:rsidP="00D008AE">
            <w:pPr>
              <w:spacing w:before="120" w:after="120" w:line="276" w:lineRule="auto"/>
              <w:rPr>
                <w:sz w:val="21"/>
                <w:szCs w:val="21"/>
              </w:rPr>
            </w:pPr>
            <w:r w:rsidRPr="0083460D">
              <w:rPr>
                <w:b/>
                <w:color w:val="9E9E9E"/>
                <w:sz w:val="21"/>
                <w:szCs w:val="21"/>
              </w:rPr>
              <w:t>Why</w:t>
            </w:r>
          </w:p>
        </w:tc>
        <w:tc>
          <w:tcPr>
            <w:tcW w:w="4002" w:type="pct"/>
            <w:tcBorders>
              <w:top w:val="single" w:sz="4" w:space="0" w:color="C0C0C0"/>
              <w:bottom w:val="single" w:sz="4" w:space="0" w:color="C0C0C0"/>
            </w:tcBorders>
            <w:shd w:val="clear" w:color="auto" w:fill="auto"/>
          </w:tcPr>
          <w:p w14:paraId="37E185F8" w14:textId="77777777" w:rsidR="00BC3FB4" w:rsidRPr="0083460D" w:rsidRDefault="00BC3FB4" w:rsidP="00D008AE">
            <w:pPr>
              <w:numPr>
                <w:ilvl w:val="0"/>
                <w:numId w:val="1"/>
              </w:numPr>
              <w:spacing w:before="120" w:after="120" w:line="276" w:lineRule="auto"/>
              <w:rPr>
                <w:rFonts w:eastAsia="Calibri"/>
                <w:sz w:val="21"/>
                <w:szCs w:val="21"/>
              </w:rPr>
            </w:pPr>
            <w:r w:rsidRPr="0083460D">
              <w:rPr>
                <w:rFonts w:eastAsia="Calibri"/>
                <w:sz w:val="21"/>
                <w:szCs w:val="21"/>
              </w:rPr>
              <w:t>Your desire is to achieve</w:t>
            </w:r>
            <w:r>
              <w:rPr>
                <w:rFonts w:eastAsia="Calibri"/>
                <w:sz w:val="21"/>
                <w:szCs w:val="21"/>
              </w:rPr>
              <w:t xml:space="preserve"> strong returns</w:t>
            </w:r>
            <w:r w:rsidRPr="0083460D">
              <w:rPr>
                <w:rFonts w:eastAsia="Calibri"/>
                <w:sz w:val="21"/>
                <w:szCs w:val="21"/>
              </w:rPr>
              <w:t xml:space="preserve"> by investing in a portfolio </w:t>
            </w:r>
            <w:r>
              <w:rPr>
                <w:rFonts w:eastAsia="Calibri"/>
                <w:sz w:val="21"/>
                <w:szCs w:val="21"/>
              </w:rPr>
              <w:t xml:space="preserve">holding predominately growth asset classes, like Australian shares, </w:t>
            </w:r>
            <w:proofErr w:type="gramStart"/>
            <w:r>
              <w:rPr>
                <w:rFonts w:eastAsia="Calibri"/>
                <w:sz w:val="21"/>
                <w:szCs w:val="21"/>
              </w:rPr>
              <w:t>property</w:t>
            </w:r>
            <w:proofErr w:type="gramEnd"/>
            <w:r>
              <w:rPr>
                <w:rFonts w:eastAsia="Calibri"/>
                <w:sz w:val="21"/>
                <w:szCs w:val="21"/>
              </w:rPr>
              <w:t xml:space="preserve"> and international shares, </w:t>
            </w:r>
            <w:r w:rsidRPr="0083460D">
              <w:rPr>
                <w:rFonts w:eastAsia="Calibri"/>
                <w:sz w:val="21"/>
                <w:szCs w:val="21"/>
              </w:rPr>
              <w:t>with a small</w:t>
            </w:r>
            <w:r>
              <w:rPr>
                <w:rFonts w:eastAsia="Calibri"/>
                <w:sz w:val="21"/>
                <w:szCs w:val="21"/>
              </w:rPr>
              <w:t>er</w:t>
            </w:r>
            <w:r w:rsidRPr="0083460D">
              <w:rPr>
                <w:rFonts w:eastAsia="Calibri"/>
                <w:sz w:val="21"/>
                <w:szCs w:val="21"/>
              </w:rPr>
              <w:t xml:space="preserve"> proportion of </w:t>
            </w:r>
            <w:r>
              <w:rPr>
                <w:rFonts w:eastAsia="Calibri"/>
                <w:sz w:val="21"/>
                <w:szCs w:val="21"/>
              </w:rPr>
              <w:t>defensive</w:t>
            </w:r>
            <w:r w:rsidRPr="0083460D">
              <w:rPr>
                <w:rFonts w:eastAsia="Calibri"/>
                <w:sz w:val="21"/>
                <w:szCs w:val="21"/>
              </w:rPr>
              <w:t xml:space="preserve"> asset</w:t>
            </w:r>
            <w:r>
              <w:rPr>
                <w:rFonts w:eastAsia="Calibri"/>
                <w:sz w:val="21"/>
                <w:szCs w:val="21"/>
              </w:rPr>
              <w:t xml:space="preserve"> classes, like</w:t>
            </w:r>
            <w:r w:rsidRPr="0083460D">
              <w:rPr>
                <w:rFonts w:eastAsia="Calibri"/>
                <w:sz w:val="21"/>
                <w:szCs w:val="21"/>
              </w:rPr>
              <w:t xml:space="preserve"> </w:t>
            </w:r>
            <w:r>
              <w:rPr>
                <w:rFonts w:eastAsia="Calibri"/>
                <w:sz w:val="21"/>
                <w:szCs w:val="21"/>
              </w:rPr>
              <w:t>cash and fixed interest.</w:t>
            </w:r>
            <w:r w:rsidRPr="0083460D">
              <w:rPr>
                <w:rFonts w:eastAsia="Calibri"/>
                <w:sz w:val="21"/>
                <w:szCs w:val="21"/>
              </w:rPr>
              <w:t xml:space="preserve"> </w:t>
            </w:r>
          </w:p>
          <w:p w14:paraId="0C0E8305" w14:textId="46205C63" w:rsidR="00122AF2" w:rsidRPr="00A0504E" w:rsidRDefault="00122AF2" w:rsidP="00122AF2">
            <w:pPr>
              <w:numPr>
                <w:ilvl w:val="0"/>
                <w:numId w:val="1"/>
              </w:numPr>
              <w:spacing w:before="120" w:after="120" w:line="276" w:lineRule="auto"/>
              <w:rPr>
                <w:rFonts w:eastAsia="Calibri" w:cs="Segoe UI"/>
                <w:sz w:val="21"/>
                <w:szCs w:val="21"/>
              </w:rPr>
            </w:pPr>
            <w:r w:rsidRPr="72091836">
              <w:rPr>
                <w:rFonts w:eastAsia="Calibri"/>
                <w:sz w:val="21"/>
                <w:szCs w:val="21"/>
              </w:rPr>
              <w:t xml:space="preserve">Your portfolio has been constructed with the objective of producing a return that exceeds </w:t>
            </w:r>
            <w:r>
              <w:rPr>
                <w:rFonts w:eastAsia="Calibri"/>
                <w:sz w:val="21"/>
                <w:szCs w:val="21"/>
              </w:rPr>
              <w:t>the portfolio’s composite multi-asset class all growth benchmark over a rolling 10-year period.</w:t>
            </w:r>
          </w:p>
          <w:p w14:paraId="3B602F8E" w14:textId="77777777" w:rsidR="00BC3FB4" w:rsidRDefault="00BC3FB4" w:rsidP="00D008AE">
            <w:pPr>
              <w:numPr>
                <w:ilvl w:val="0"/>
                <w:numId w:val="1"/>
              </w:numPr>
              <w:spacing w:before="120" w:after="120" w:line="276" w:lineRule="auto"/>
              <w:rPr>
                <w:rFonts w:eastAsia="Calibri"/>
                <w:sz w:val="21"/>
                <w:szCs w:val="21"/>
              </w:rPr>
            </w:pPr>
            <w:r>
              <w:rPr>
                <w:rFonts w:eastAsia="Calibri"/>
                <w:sz w:val="21"/>
                <w:szCs w:val="21"/>
              </w:rPr>
              <w:t xml:space="preserve">You are aiming to receive a strong return over the long term and are not concerned with short term market volatility. </w:t>
            </w:r>
          </w:p>
          <w:p w14:paraId="46FD861A" w14:textId="77777777" w:rsidR="00400E37" w:rsidRDefault="00400E37" w:rsidP="00400E37">
            <w:pPr>
              <w:numPr>
                <w:ilvl w:val="0"/>
                <w:numId w:val="1"/>
              </w:numPr>
              <w:spacing w:before="120" w:after="120" w:line="276" w:lineRule="auto"/>
              <w:rPr>
                <w:rFonts w:eastAsia="Calibri"/>
                <w:sz w:val="21"/>
                <w:szCs w:val="21"/>
              </w:rPr>
            </w:pPr>
            <w:r>
              <w:rPr>
                <w:rFonts w:eastAsia="Calibri"/>
                <w:sz w:val="21"/>
                <w:szCs w:val="21"/>
              </w:rPr>
              <w:t>Your</w:t>
            </w:r>
            <w:r w:rsidRPr="00B10C6C">
              <w:rPr>
                <w:rFonts w:eastAsia="Calibri"/>
                <w:sz w:val="21"/>
                <w:szCs w:val="21"/>
              </w:rPr>
              <w:t xml:space="preserve"> portfolio is powered by Morningstar’s independent research and portfolio construction capabilities, leveraging </w:t>
            </w:r>
            <w:r>
              <w:rPr>
                <w:rFonts w:eastAsia="Calibri"/>
                <w:sz w:val="21"/>
                <w:szCs w:val="21"/>
              </w:rPr>
              <w:t>their</w:t>
            </w:r>
            <w:r w:rsidRPr="00B10C6C">
              <w:rPr>
                <w:rFonts w:eastAsia="Calibri"/>
                <w:sz w:val="21"/>
                <w:szCs w:val="21"/>
              </w:rPr>
              <w:t xml:space="preserve"> global capabilities and resources.</w:t>
            </w:r>
          </w:p>
          <w:p w14:paraId="1BB07FC4" w14:textId="51705451" w:rsidR="001567A3" w:rsidRDefault="001567A3" w:rsidP="00400E37">
            <w:pPr>
              <w:numPr>
                <w:ilvl w:val="0"/>
                <w:numId w:val="1"/>
              </w:numPr>
              <w:spacing w:before="120" w:after="120" w:line="276" w:lineRule="auto"/>
              <w:rPr>
                <w:rFonts w:eastAsia="Calibri"/>
                <w:sz w:val="21"/>
                <w:szCs w:val="21"/>
              </w:rPr>
            </w:pPr>
            <w:r>
              <w:rPr>
                <w:rFonts w:eastAsia="Calibri"/>
                <w:sz w:val="21"/>
                <w:szCs w:val="21"/>
              </w:rPr>
              <w:t>Your</w:t>
            </w:r>
            <w:r w:rsidRPr="001567A3">
              <w:rPr>
                <w:rFonts w:eastAsia="Calibri"/>
                <w:sz w:val="21"/>
                <w:szCs w:val="21"/>
              </w:rPr>
              <w:t xml:space="preserve"> portfolio has exposure to a diverse mix of managed investments, which primarily invest in growth assets. Over the long term, </w:t>
            </w:r>
            <w:r>
              <w:rPr>
                <w:rFonts w:eastAsia="Calibri"/>
                <w:sz w:val="21"/>
                <w:szCs w:val="21"/>
              </w:rPr>
              <w:t>your</w:t>
            </w:r>
            <w:r w:rsidRPr="001567A3">
              <w:rPr>
                <w:rFonts w:eastAsia="Calibri"/>
                <w:sz w:val="21"/>
                <w:szCs w:val="21"/>
              </w:rPr>
              <w:t xml:space="preserve"> </w:t>
            </w:r>
            <w:r>
              <w:rPr>
                <w:rFonts w:eastAsia="Calibri"/>
                <w:sz w:val="21"/>
                <w:szCs w:val="21"/>
              </w:rPr>
              <w:t>p</w:t>
            </w:r>
            <w:r w:rsidRPr="001567A3">
              <w:rPr>
                <w:rFonts w:eastAsia="Calibri"/>
                <w:sz w:val="21"/>
                <w:szCs w:val="21"/>
              </w:rPr>
              <w:t xml:space="preserve">ortfolio aims to have a 98% allocation to growth assets. </w:t>
            </w:r>
          </w:p>
          <w:p w14:paraId="4FB438FE" w14:textId="3CA18678" w:rsidR="00400E37" w:rsidRDefault="00400E37" w:rsidP="00400E37">
            <w:pPr>
              <w:numPr>
                <w:ilvl w:val="0"/>
                <w:numId w:val="1"/>
              </w:numPr>
              <w:spacing w:before="120" w:after="120" w:line="276" w:lineRule="auto"/>
              <w:rPr>
                <w:rFonts w:eastAsia="Calibri"/>
                <w:sz w:val="21"/>
                <w:szCs w:val="21"/>
              </w:rPr>
            </w:pPr>
            <w:r>
              <w:rPr>
                <w:rFonts w:eastAsia="Calibri"/>
                <w:sz w:val="21"/>
                <w:szCs w:val="21"/>
              </w:rPr>
              <w:t xml:space="preserve">You are aiming to receive a strong return over the long term and are not overly concerned with protecting your capital from market down turns over the short term. </w:t>
            </w:r>
          </w:p>
          <w:p w14:paraId="4FFB4855" w14:textId="77777777" w:rsidR="00400E37" w:rsidRDefault="00400E37" w:rsidP="00400E37">
            <w:pPr>
              <w:numPr>
                <w:ilvl w:val="0"/>
                <w:numId w:val="1"/>
              </w:numPr>
              <w:spacing w:before="120" w:after="120" w:line="276" w:lineRule="auto"/>
              <w:rPr>
                <w:rFonts w:eastAsia="Calibri"/>
                <w:sz w:val="21"/>
                <w:szCs w:val="21"/>
              </w:rPr>
            </w:pPr>
            <w:r>
              <w:rPr>
                <w:rFonts w:eastAsia="Calibri"/>
                <w:sz w:val="21"/>
                <w:szCs w:val="21"/>
              </w:rPr>
              <w:t>Your p</w:t>
            </w:r>
            <w:r w:rsidRPr="008D0837">
              <w:rPr>
                <w:rFonts w:eastAsia="Calibri"/>
                <w:sz w:val="21"/>
                <w:szCs w:val="21"/>
              </w:rPr>
              <w:t xml:space="preserve">ortfolio has exposure to a diverse mix of managed investments which include primarily growth assets and some exposure to interest-producing assets. Over the long term, </w:t>
            </w:r>
            <w:r>
              <w:rPr>
                <w:rFonts w:eastAsia="Calibri"/>
                <w:sz w:val="21"/>
                <w:szCs w:val="21"/>
              </w:rPr>
              <w:t>your p</w:t>
            </w:r>
            <w:r w:rsidRPr="008D0837">
              <w:rPr>
                <w:rFonts w:eastAsia="Calibri"/>
                <w:sz w:val="21"/>
                <w:szCs w:val="21"/>
              </w:rPr>
              <w:t>ortfolio aims to have a 30% allocation to defensive assets and a 70% allocation to growth assets.</w:t>
            </w:r>
          </w:p>
          <w:p w14:paraId="7612B978" w14:textId="5EB5057F" w:rsidR="00400E37" w:rsidRDefault="00400E37" w:rsidP="00400E37">
            <w:pPr>
              <w:numPr>
                <w:ilvl w:val="0"/>
                <w:numId w:val="1"/>
              </w:numPr>
              <w:spacing w:before="120" w:after="120" w:line="276" w:lineRule="auto"/>
              <w:rPr>
                <w:rFonts w:eastAsia="Calibri"/>
                <w:sz w:val="21"/>
                <w:szCs w:val="21"/>
              </w:rPr>
            </w:pPr>
            <w:r>
              <w:rPr>
                <w:rFonts w:eastAsia="Calibri"/>
                <w:sz w:val="21"/>
                <w:szCs w:val="21"/>
              </w:rPr>
              <w:t>Your portfolio will be managed by Morningstar Investment Management, using third-party fund managers who are amongst Morningstar</w:t>
            </w:r>
            <w:r w:rsidR="00A857B7">
              <w:rPr>
                <w:rFonts w:eastAsia="Calibri"/>
                <w:sz w:val="21"/>
                <w:szCs w:val="21"/>
              </w:rPr>
              <w:t xml:space="preserve"> Australasia</w:t>
            </w:r>
            <w:r>
              <w:rPr>
                <w:rFonts w:eastAsia="Calibri"/>
                <w:sz w:val="21"/>
                <w:szCs w:val="21"/>
              </w:rPr>
              <w:t>’s highest rated according to their independent research.</w:t>
            </w:r>
          </w:p>
          <w:p w14:paraId="47623391" w14:textId="77777777" w:rsidR="00400E37" w:rsidRDefault="00400E37" w:rsidP="00400E37">
            <w:pPr>
              <w:numPr>
                <w:ilvl w:val="0"/>
                <w:numId w:val="1"/>
              </w:numPr>
              <w:spacing w:before="120" w:after="120" w:line="276" w:lineRule="auto"/>
              <w:rPr>
                <w:rFonts w:eastAsia="Calibri"/>
                <w:sz w:val="21"/>
                <w:szCs w:val="21"/>
              </w:rPr>
            </w:pPr>
            <w:r w:rsidRPr="72091836">
              <w:rPr>
                <w:rFonts w:eastAsia="Calibri"/>
                <w:sz w:val="21"/>
                <w:szCs w:val="21"/>
              </w:rPr>
              <w:t>The investment style of your portfolio has been optimised according to the probability of achieving the best performance for the lowest cost.</w:t>
            </w:r>
            <w:r>
              <w:rPr>
                <w:rFonts w:eastAsia="Calibri"/>
                <w:sz w:val="21"/>
                <w:szCs w:val="21"/>
              </w:rPr>
              <w:t xml:space="preserve"> </w:t>
            </w:r>
            <w:r w:rsidRPr="72091836">
              <w:rPr>
                <w:rFonts w:eastAsia="Calibri"/>
                <w:sz w:val="21"/>
                <w:szCs w:val="21"/>
              </w:rPr>
              <w:t xml:space="preserve">Where the likelihood of outperformance of the market is high, you will have an allocation to active managers, where this is low, you will have an allocation to passive managers. </w:t>
            </w:r>
          </w:p>
          <w:p w14:paraId="5296D2DB" w14:textId="1D612F00" w:rsidR="00BC3FB4" w:rsidRPr="00E56275" w:rsidRDefault="00400E37" w:rsidP="00400E37">
            <w:pPr>
              <w:numPr>
                <w:ilvl w:val="0"/>
                <w:numId w:val="1"/>
              </w:numPr>
              <w:spacing w:before="120" w:after="120" w:line="276" w:lineRule="auto"/>
              <w:rPr>
                <w:rFonts w:eastAsia="Calibri"/>
                <w:sz w:val="21"/>
                <w:szCs w:val="21"/>
              </w:rPr>
            </w:pPr>
            <w:r>
              <w:rPr>
                <w:rFonts w:eastAsia="Calibri"/>
                <w:sz w:val="21"/>
                <w:szCs w:val="21"/>
              </w:rPr>
              <w:t xml:space="preserve">The underlying </w:t>
            </w:r>
            <w:r w:rsidRPr="0078496C">
              <w:rPr>
                <w:rFonts w:eastAsia="Calibri"/>
                <w:sz w:val="21"/>
                <w:szCs w:val="21"/>
              </w:rPr>
              <w:t xml:space="preserve">fund managers, their funds and the construction of </w:t>
            </w:r>
            <w:r>
              <w:rPr>
                <w:rFonts w:eastAsia="Calibri"/>
                <w:sz w:val="21"/>
                <w:szCs w:val="21"/>
              </w:rPr>
              <w:t>your</w:t>
            </w:r>
            <w:r w:rsidRPr="0078496C">
              <w:rPr>
                <w:rFonts w:eastAsia="Calibri"/>
                <w:sz w:val="21"/>
                <w:szCs w:val="21"/>
              </w:rPr>
              <w:t xml:space="preserve"> </w:t>
            </w:r>
            <w:r>
              <w:rPr>
                <w:rFonts w:eastAsia="Calibri"/>
                <w:sz w:val="21"/>
                <w:szCs w:val="21"/>
              </w:rPr>
              <w:t>p</w:t>
            </w:r>
            <w:r w:rsidRPr="0078496C">
              <w:rPr>
                <w:rFonts w:eastAsia="Calibri"/>
                <w:sz w:val="21"/>
                <w:szCs w:val="21"/>
              </w:rPr>
              <w:t xml:space="preserve">ortfolio </w:t>
            </w:r>
            <w:r>
              <w:rPr>
                <w:rFonts w:eastAsia="Calibri"/>
                <w:sz w:val="21"/>
                <w:szCs w:val="21"/>
              </w:rPr>
              <w:t>are</w:t>
            </w:r>
            <w:r w:rsidRPr="0078496C">
              <w:rPr>
                <w:rFonts w:eastAsia="Calibri"/>
                <w:sz w:val="21"/>
                <w:szCs w:val="21"/>
              </w:rPr>
              <w:t xml:space="preserve"> regularly reviewed for suitability and market conditions.</w:t>
            </w:r>
          </w:p>
        </w:tc>
      </w:tr>
      <w:tr w:rsidR="00BC3FB4" w:rsidRPr="0083460D" w14:paraId="45CFA137" w14:textId="77777777" w:rsidTr="00D008AE">
        <w:tc>
          <w:tcPr>
            <w:tcW w:w="998" w:type="pct"/>
            <w:tcBorders>
              <w:top w:val="single" w:sz="4" w:space="0" w:color="C0C0C0"/>
              <w:bottom w:val="single" w:sz="4" w:space="0" w:color="C0C0C0"/>
            </w:tcBorders>
            <w:shd w:val="clear" w:color="auto" w:fill="auto"/>
          </w:tcPr>
          <w:p w14:paraId="2095C6B9" w14:textId="77777777" w:rsidR="00BC3FB4" w:rsidRPr="0083460D" w:rsidRDefault="00BC3FB4" w:rsidP="00D008AE">
            <w:pPr>
              <w:spacing w:before="120" w:after="120" w:line="276" w:lineRule="auto"/>
              <w:rPr>
                <w:b/>
                <w:color w:val="9E9E9E"/>
                <w:sz w:val="21"/>
                <w:szCs w:val="21"/>
              </w:rPr>
            </w:pPr>
            <w:r w:rsidRPr="0083460D">
              <w:rPr>
                <w:sz w:val="21"/>
                <w:szCs w:val="21"/>
              </w:rPr>
              <w:br w:type="page"/>
            </w:r>
            <w:r w:rsidRPr="0083460D">
              <w:rPr>
                <w:b/>
                <w:color w:val="9E9E9E"/>
                <w:sz w:val="21"/>
                <w:szCs w:val="21"/>
              </w:rPr>
              <w:t>Risks</w:t>
            </w:r>
          </w:p>
        </w:tc>
        <w:tc>
          <w:tcPr>
            <w:tcW w:w="4002" w:type="pct"/>
            <w:tcBorders>
              <w:top w:val="single" w:sz="4" w:space="0" w:color="C0C0C0"/>
              <w:bottom w:val="single" w:sz="4" w:space="0" w:color="C0C0C0"/>
            </w:tcBorders>
            <w:shd w:val="clear" w:color="auto" w:fill="auto"/>
          </w:tcPr>
          <w:p w14:paraId="2CF55F54"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A </w:t>
            </w:r>
            <w:r>
              <w:rPr>
                <w:rFonts w:eastAsia="Calibri" w:cs="Segoe UI"/>
                <w:sz w:val="21"/>
                <w:szCs w:val="21"/>
              </w:rPr>
              <w:t>higher</w:t>
            </w:r>
            <w:r w:rsidRPr="0083460D">
              <w:rPr>
                <w:rFonts w:eastAsia="Calibri" w:cs="Segoe UI"/>
                <w:sz w:val="21"/>
                <w:szCs w:val="21"/>
              </w:rPr>
              <w:t xml:space="preserve"> level of volatility can be expected from time to time</w:t>
            </w:r>
            <w:r>
              <w:rPr>
                <w:rFonts w:eastAsia="Calibri" w:cs="Segoe UI"/>
                <w:sz w:val="21"/>
                <w:szCs w:val="21"/>
              </w:rPr>
              <w:t>,</w:t>
            </w:r>
            <w:r w:rsidRPr="0083460D">
              <w:rPr>
                <w:rFonts w:eastAsia="Calibri" w:cs="Segoe UI"/>
                <w:sz w:val="21"/>
                <w:szCs w:val="21"/>
              </w:rPr>
              <w:t xml:space="preserve"> </w:t>
            </w:r>
            <w:r>
              <w:rPr>
                <w:rFonts w:eastAsia="Calibri" w:cs="Segoe UI"/>
                <w:sz w:val="21"/>
                <w:szCs w:val="21"/>
              </w:rPr>
              <w:t>due to the amount invested in growth asset classes. Generally, it would be expected that this will outperform lower risk profiles over the long term however, it’s important to note, r</w:t>
            </w:r>
            <w:r w:rsidRPr="0083460D">
              <w:rPr>
                <w:rFonts w:eastAsia="Calibri" w:cs="Segoe UI"/>
                <w:sz w:val="21"/>
                <w:szCs w:val="21"/>
              </w:rPr>
              <w:t xml:space="preserve">eturns from the </w:t>
            </w:r>
            <w:r>
              <w:rPr>
                <w:rFonts w:eastAsia="Calibri" w:cs="Segoe UI"/>
                <w:sz w:val="21"/>
                <w:szCs w:val="21"/>
              </w:rPr>
              <w:t>portfolio</w:t>
            </w:r>
            <w:r w:rsidRPr="0083460D">
              <w:rPr>
                <w:rFonts w:eastAsia="Calibri" w:cs="Segoe UI"/>
                <w:sz w:val="21"/>
                <w:szCs w:val="21"/>
              </w:rPr>
              <w:t xml:space="preserve"> are not guaranteed and capital loss is possible.</w:t>
            </w:r>
          </w:p>
          <w:p w14:paraId="5C56F53A"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 xml:space="preserve">The recommended investment may underperform </w:t>
            </w:r>
            <w:r>
              <w:rPr>
                <w:rFonts w:eastAsia="Calibri" w:cs="Segoe UI"/>
                <w:sz w:val="21"/>
                <w:szCs w:val="21"/>
              </w:rPr>
              <w:t xml:space="preserve">your </w:t>
            </w:r>
            <w:r w:rsidRPr="0083460D">
              <w:rPr>
                <w:rFonts w:eastAsia="Calibri" w:cs="Segoe UI"/>
                <w:sz w:val="21"/>
                <w:szCs w:val="21"/>
              </w:rPr>
              <w:t>existing portfolio.</w:t>
            </w:r>
          </w:p>
          <w:p w14:paraId="0F0A9880" w14:textId="77777777" w:rsidR="00BC3FB4" w:rsidRPr="0083460D" w:rsidRDefault="00BC3FB4" w:rsidP="00D008AE">
            <w:pPr>
              <w:numPr>
                <w:ilvl w:val="0"/>
                <w:numId w:val="1"/>
              </w:numPr>
              <w:spacing w:before="120" w:after="120" w:line="276" w:lineRule="auto"/>
              <w:rPr>
                <w:rFonts w:eastAsia="Calibri" w:cs="Segoe UI"/>
                <w:sz w:val="21"/>
                <w:szCs w:val="21"/>
              </w:rPr>
            </w:pPr>
            <w:r>
              <w:rPr>
                <w:rFonts w:eastAsia="Calibri" w:cs="Segoe UI"/>
                <w:sz w:val="21"/>
                <w:szCs w:val="21"/>
              </w:rPr>
              <w:lastRenderedPageBreak/>
              <w:t xml:space="preserve">Investors cannot </w:t>
            </w:r>
            <w:r w:rsidRPr="0083460D">
              <w:rPr>
                <w:rFonts w:eastAsia="Calibri" w:cs="Segoe UI"/>
                <w:sz w:val="21"/>
                <w:szCs w:val="21"/>
              </w:rPr>
              <w:t xml:space="preserve">control financial markets and economic circumstances. Investments with inherent </w:t>
            </w:r>
            <w:r>
              <w:rPr>
                <w:rFonts w:eastAsia="Calibri" w:cs="Segoe UI"/>
                <w:sz w:val="21"/>
                <w:szCs w:val="21"/>
              </w:rPr>
              <w:t>share</w:t>
            </w:r>
            <w:r w:rsidRPr="0083460D">
              <w:rPr>
                <w:rFonts w:eastAsia="Calibri" w:cs="Segoe UI"/>
                <w:sz w:val="21"/>
                <w:szCs w:val="21"/>
              </w:rPr>
              <w:t xml:space="preserve"> </w:t>
            </w:r>
            <w:r>
              <w:rPr>
                <w:rFonts w:eastAsia="Calibri" w:cs="Segoe UI"/>
                <w:sz w:val="21"/>
                <w:szCs w:val="21"/>
              </w:rPr>
              <w:t xml:space="preserve">and property exposures </w:t>
            </w:r>
            <w:r w:rsidRPr="0083460D">
              <w:rPr>
                <w:rFonts w:eastAsia="Calibri" w:cs="Segoe UI"/>
                <w:sz w:val="21"/>
                <w:szCs w:val="21"/>
              </w:rPr>
              <w:t>are volatile by nature as they are not capital guaranteed. The concept of volatility means that investment values can move both up and down. The greater the volatility the more ups and downs. The reward for accepting volatility is likely higher returns over the long term.</w:t>
            </w:r>
          </w:p>
          <w:p w14:paraId="24892597"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All asset classes, other than cash, will inevitably experience periods of negative returns. This is especially true for growth</w:t>
            </w:r>
            <w:r>
              <w:rPr>
                <w:rFonts w:eastAsia="Calibri" w:cs="Segoe UI"/>
                <w:sz w:val="21"/>
                <w:szCs w:val="21"/>
              </w:rPr>
              <w:t>-</w:t>
            </w:r>
            <w:r w:rsidRPr="0083460D">
              <w:rPr>
                <w:rFonts w:eastAsia="Calibri" w:cs="Segoe UI"/>
                <w:sz w:val="21"/>
                <w:szCs w:val="21"/>
              </w:rPr>
              <w:t xml:space="preserve">oriented investments, such as Australian and International shares and property.  However, no one can predict when negative returns will occur, or their duration. The implication of prolonged periods of negative returns for investors is that it can reduce the number of years that your portfolio will </w:t>
            </w:r>
            <w:proofErr w:type="gramStart"/>
            <w:r w:rsidRPr="0083460D">
              <w:rPr>
                <w:rFonts w:eastAsia="Calibri" w:cs="Segoe UI"/>
                <w:sz w:val="21"/>
                <w:szCs w:val="21"/>
              </w:rPr>
              <w:t>last</w:t>
            </w:r>
            <w:proofErr w:type="gramEnd"/>
            <w:r w:rsidRPr="0083460D">
              <w:rPr>
                <w:rFonts w:eastAsia="Calibri" w:cs="Segoe UI"/>
                <w:sz w:val="21"/>
                <w:szCs w:val="21"/>
              </w:rPr>
              <w:t xml:space="preserve"> or you may need to postpone your retirement.</w:t>
            </w:r>
          </w:p>
          <w:p w14:paraId="3C73E972" w14:textId="77777777" w:rsidR="00BC3FB4" w:rsidRPr="0083460D" w:rsidRDefault="00BC3FB4" w:rsidP="00D008AE">
            <w:pPr>
              <w:numPr>
                <w:ilvl w:val="0"/>
                <w:numId w:val="1"/>
              </w:numPr>
              <w:spacing w:before="120" w:after="120" w:line="276" w:lineRule="auto"/>
              <w:rPr>
                <w:rFonts w:eastAsia="Calibri" w:cs="Segoe UI"/>
                <w:sz w:val="21"/>
                <w:szCs w:val="21"/>
              </w:rPr>
            </w:pPr>
            <w:r w:rsidRPr="0083460D">
              <w:rPr>
                <w:rFonts w:eastAsia="Calibri" w:cs="Segoe UI"/>
                <w:sz w:val="21"/>
                <w:szCs w:val="21"/>
              </w:rPr>
              <w:t>You will realise any investment gains</w:t>
            </w:r>
            <w:r>
              <w:rPr>
                <w:rFonts w:eastAsia="Calibri" w:cs="Segoe UI"/>
                <w:sz w:val="21"/>
                <w:szCs w:val="21"/>
              </w:rPr>
              <w:t xml:space="preserve"> and</w:t>
            </w:r>
            <w:r w:rsidRPr="0083460D">
              <w:rPr>
                <w:rFonts w:eastAsia="Calibri" w:cs="Segoe UI"/>
                <w:sz w:val="21"/>
                <w:szCs w:val="21"/>
              </w:rPr>
              <w:t xml:space="preserve"> </w:t>
            </w:r>
            <w:r>
              <w:rPr>
                <w:rFonts w:eastAsia="Calibri" w:cs="Segoe UI"/>
                <w:sz w:val="21"/>
                <w:szCs w:val="21"/>
              </w:rPr>
              <w:t>t</w:t>
            </w:r>
            <w:r w:rsidRPr="0083460D">
              <w:rPr>
                <w:rFonts w:eastAsia="Calibri" w:cs="Segoe UI"/>
                <w:sz w:val="21"/>
                <w:szCs w:val="21"/>
              </w:rPr>
              <w:t xml:space="preserve">here may be tax payable on the capital gains. We strongly recommend that you confirm your tax </w:t>
            </w:r>
            <w:r>
              <w:rPr>
                <w:rFonts w:eastAsia="Calibri" w:cs="Segoe UI"/>
                <w:sz w:val="21"/>
                <w:szCs w:val="21"/>
              </w:rPr>
              <w:t>position</w:t>
            </w:r>
            <w:r w:rsidRPr="0083460D">
              <w:rPr>
                <w:rFonts w:eastAsia="Calibri" w:cs="Segoe UI"/>
                <w:sz w:val="21"/>
                <w:szCs w:val="21"/>
              </w:rPr>
              <w:t xml:space="preserve"> with your accountant.</w:t>
            </w:r>
          </w:p>
        </w:tc>
      </w:tr>
      <w:tr w:rsidR="00BC3FB4" w:rsidRPr="0083460D" w14:paraId="57331BF2" w14:textId="77777777" w:rsidTr="00D008AE">
        <w:tc>
          <w:tcPr>
            <w:tcW w:w="998" w:type="pct"/>
            <w:tcBorders>
              <w:top w:val="single" w:sz="4" w:space="0" w:color="C0C0C0"/>
              <w:bottom w:val="single" w:sz="4" w:space="0" w:color="C0C0C0"/>
            </w:tcBorders>
            <w:shd w:val="clear" w:color="auto" w:fill="auto"/>
          </w:tcPr>
          <w:p w14:paraId="49689CE9"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lastRenderedPageBreak/>
              <w:t>Disadvantages</w:t>
            </w:r>
          </w:p>
        </w:tc>
        <w:tc>
          <w:tcPr>
            <w:tcW w:w="4002" w:type="pct"/>
            <w:tcBorders>
              <w:top w:val="single" w:sz="4" w:space="0" w:color="C0C0C0"/>
              <w:bottom w:val="single" w:sz="4" w:space="0" w:color="C0C0C0"/>
            </w:tcBorders>
            <w:shd w:val="clear" w:color="auto" w:fill="auto"/>
          </w:tcPr>
          <w:p w14:paraId="4D587FFE" w14:textId="77777777" w:rsidR="00BC3FB4" w:rsidRPr="0083460D" w:rsidRDefault="00BC3FB4" w:rsidP="00D008AE">
            <w:pPr>
              <w:numPr>
                <w:ilvl w:val="0"/>
                <w:numId w:val="1"/>
              </w:numPr>
              <w:spacing w:before="120" w:after="120" w:line="276" w:lineRule="auto"/>
              <w:rPr>
                <w:rFonts w:eastAsia="Calibri" w:cs="Segoe UI"/>
                <w:sz w:val="21"/>
                <w:szCs w:val="21"/>
              </w:rPr>
            </w:pPr>
            <w:r w:rsidRPr="0015078E">
              <w:rPr>
                <w:rFonts w:eastAsia="Calibri" w:cs="Segoe UI"/>
                <w:sz w:val="21"/>
                <w:szCs w:val="21"/>
              </w:rPr>
              <w:t>As your portfolio has been designed for investors who favour stability of capital and lower volatility, potential returns are also lower than more aggressive portfolios.</w:t>
            </w:r>
          </w:p>
        </w:tc>
      </w:tr>
      <w:tr w:rsidR="00BC3FB4" w:rsidRPr="006C1FD8" w14:paraId="48947EA9" w14:textId="77777777" w:rsidTr="00D008AE">
        <w:tc>
          <w:tcPr>
            <w:tcW w:w="998" w:type="pct"/>
            <w:tcBorders>
              <w:top w:val="single" w:sz="4" w:space="0" w:color="C0C0C0"/>
              <w:bottom w:val="single" w:sz="4" w:space="0" w:color="C0C0C0"/>
            </w:tcBorders>
            <w:shd w:val="clear" w:color="auto" w:fill="auto"/>
          </w:tcPr>
          <w:p w14:paraId="5EC40999" w14:textId="77777777" w:rsidR="00BC3FB4" w:rsidRPr="0083460D" w:rsidRDefault="00BC3FB4" w:rsidP="00D008AE">
            <w:pPr>
              <w:spacing w:before="120" w:after="120" w:line="276" w:lineRule="auto"/>
              <w:rPr>
                <w:b/>
                <w:color w:val="9E9E9E"/>
                <w:sz w:val="21"/>
                <w:szCs w:val="21"/>
              </w:rPr>
            </w:pPr>
            <w:r w:rsidRPr="0083460D">
              <w:rPr>
                <w:b/>
                <w:color w:val="9E9E9E"/>
                <w:sz w:val="21"/>
                <w:szCs w:val="21"/>
              </w:rPr>
              <w:t>Other Considerations</w:t>
            </w:r>
          </w:p>
        </w:tc>
        <w:tc>
          <w:tcPr>
            <w:tcW w:w="4002" w:type="pct"/>
            <w:tcBorders>
              <w:top w:val="single" w:sz="4" w:space="0" w:color="C0C0C0"/>
              <w:bottom w:val="single" w:sz="4" w:space="0" w:color="C0C0C0"/>
            </w:tcBorders>
            <w:shd w:val="clear" w:color="auto" w:fill="auto"/>
          </w:tcPr>
          <w:p w14:paraId="21B127FF" w14:textId="77777777" w:rsidR="00BC3FB4" w:rsidRPr="006C1FD8" w:rsidRDefault="00BC3FB4" w:rsidP="00D008AE">
            <w:pPr>
              <w:numPr>
                <w:ilvl w:val="0"/>
                <w:numId w:val="1"/>
              </w:numPr>
              <w:spacing w:before="120" w:after="120" w:line="276" w:lineRule="auto"/>
              <w:rPr>
                <w:rFonts w:eastAsia="Calibri"/>
                <w:sz w:val="21"/>
                <w:szCs w:val="21"/>
              </w:rPr>
            </w:pPr>
            <w:r w:rsidRPr="006C1FD8">
              <w:rPr>
                <w:rFonts w:eastAsia="Calibri"/>
                <w:sz w:val="21"/>
                <w:szCs w:val="21"/>
              </w:rPr>
              <w:t xml:space="preserve">In general, the Conservative portfolio will hold 10% defensive assets and 90% growth assets; however, the allocations will be actively managed within the allowable ranges depending on market conditions. </w:t>
            </w:r>
          </w:p>
          <w:p w14:paraId="605C191C" w14:textId="77777777" w:rsidR="007D5F05" w:rsidRPr="006C1FD8" w:rsidRDefault="00BC3FB4"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Your portfolio will be managed by Morningstar </w:t>
            </w:r>
            <w:r w:rsidR="007D5F05" w:rsidRPr="006C1FD8">
              <w:rPr>
                <w:rFonts w:eastAsia="Calibri" w:cs="Segoe UI"/>
                <w:sz w:val="21"/>
                <w:szCs w:val="21"/>
              </w:rPr>
              <w:t xml:space="preserve">Investment Management </w:t>
            </w:r>
            <w:r w:rsidRPr="006C1FD8">
              <w:rPr>
                <w:rFonts w:eastAsia="Calibri" w:cs="Segoe UI"/>
                <w:sz w:val="21"/>
                <w:szCs w:val="21"/>
              </w:rPr>
              <w:t>who have a highly capable global investment team who specialise in asset allocation, quality stock selection and portfolio construction.</w:t>
            </w:r>
          </w:p>
          <w:p w14:paraId="24582D51" w14:textId="5BF3DC3C" w:rsidR="00BC3FB4" w:rsidRPr="006C1FD8" w:rsidRDefault="007D5F05" w:rsidP="00D008AE">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In addition, </w:t>
            </w:r>
            <w:r w:rsidR="00BC3FB4" w:rsidRPr="006C1FD8">
              <w:rPr>
                <w:rFonts w:eastAsia="Calibri" w:cs="Segoe UI"/>
                <w:sz w:val="21"/>
                <w:szCs w:val="21"/>
              </w:rPr>
              <w:t>Morningstar</w:t>
            </w:r>
            <w:r w:rsidRPr="006C1FD8">
              <w:rPr>
                <w:rFonts w:eastAsia="Calibri" w:cs="Segoe UI"/>
                <w:sz w:val="21"/>
                <w:szCs w:val="21"/>
              </w:rPr>
              <w:t xml:space="preserve"> Australasia</w:t>
            </w:r>
            <w:r w:rsidR="00BC3FB4" w:rsidRPr="006C1FD8">
              <w:rPr>
                <w:rFonts w:eastAsia="Calibri" w:cs="Segoe UI"/>
                <w:sz w:val="21"/>
                <w:szCs w:val="21"/>
              </w:rPr>
              <w:t xml:space="preserve"> have a global research team, known for their independence, who determine fund ratings on a regular basis.</w:t>
            </w:r>
          </w:p>
          <w:p w14:paraId="2B2E1110" w14:textId="77777777" w:rsidR="00EB0F1C" w:rsidRPr="006C1FD8" w:rsidRDefault="00EB0F1C"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 xml:space="preserve">Morningstar’s approach within the </w:t>
            </w:r>
            <w:proofErr w:type="spellStart"/>
            <w:r w:rsidRPr="006C1FD8">
              <w:rPr>
                <w:rFonts w:eastAsia="Calibri" w:cs="Segoe UI"/>
                <w:sz w:val="21"/>
                <w:szCs w:val="21"/>
              </w:rPr>
              <w:t>Medalist</w:t>
            </w:r>
            <w:proofErr w:type="spellEnd"/>
            <w:r w:rsidRPr="006C1FD8">
              <w:rPr>
                <w:rFonts w:eastAsia="Calibri" w:cs="Segoe UI"/>
                <w:sz w:val="21"/>
                <w:szCs w:val="21"/>
              </w:rPr>
              <w:t xml:space="preserve"> Core portfolios </w:t>
            </w:r>
            <w:proofErr w:type="gramStart"/>
            <w:r w:rsidRPr="006C1FD8">
              <w:rPr>
                <w:rFonts w:eastAsia="Calibri" w:cs="Segoe UI"/>
                <w:sz w:val="21"/>
                <w:szCs w:val="21"/>
              </w:rPr>
              <w:t>consider</w:t>
            </w:r>
            <w:proofErr w:type="gramEnd"/>
            <w:r w:rsidRPr="006C1FD8">
              <w:rPr>
                <w:rFonts w:eastAsia="Calibri" w:cs="Segoe UI"/>
                <w:sz w:val="21"/>
                <w:szCs w:val="21"/>
              </w:rPr>
              <w:t xml:space="preserve"> the likelihood of active managers to outperform the market on a regular basis. Where outperformance is unlikely, they invest in passive managers to reduce costs to you.</w:t>
            </w:r>
          </w:p>
          <w:p w14:paraId="4BA221ED" w14:textId="77777777" w:rsidR="00222FFD" w:rsidRPr="006C1FD8" w:rsidRDefault="00222FFD" w:rsidP="00222FFD">
            <w:pPr>
              <w:numPr>
                <w:ilvl w:val="0"/>
                <w:numId w:val="1"/>
              </w:numPr>
              <w:spacing w:before="120" w:after="120" w:line="276" w:lineRule="auto"/>
              <w:rPr>
                <w:rFonts w:eastAsia="Calibri" w:cs="Segoe UI"/>
                <w:sz w:val="21"/>
                <w:szCs w:val="21"/>
              </w:rPr>
            </w:pPr>
            <w:r>
              <w:rPr>
                <w:rStyle w:val="ui-provider"/>
              </w:rPr>
              <w:t xml:space="preserve">Morningstar's </w:t>
            </w:r>
            <w:proofErr w:type="spellStart"/>
            <w:r>
              <w:rPr>
                <w:rStyle w:val="ui-provider"/>
              </w:rPr>
              <w:t>Medalist</w:t>
            </w:r>
            <w:proofErr w:type="spellEnd"/>
            <w:r>
              <w:rPr>
                <w:rStyle w:val="ui-provider"/>
              </w:rPr>
              <w:t xml:space="preserve"> Core portfolios are based on research provided by Morningstar Australasia's Fund Research team. Morningstar's Manager research team does not received payments from fund managers to rate their</w:t>
            </w:r>
            <w:r w:rsidRPr="006C1FD8">
              <w:rPr>
                <w:rFonts w:eastAsia="Calibri" w:cs="Segoe UI"/>
                <w:sz w:val="21"/>
                <w:szCs w:val="21"/>
              </w:rPr>
              <w:t>, nor does Morningstar Investment Management use any of their own funds or investment vehicles within these portfolios.</w:t>
            </w:r>
          </w:p>
          <w:p w14:paraId="5B0E2454" w14:textId="37D77736" w:rsidR="007D5F05" w:rsidRPr="006C1FD8" w:rsidRDefault="001E2975" w:rsidP="00EB0F1C">
            <w:pPr>
              <w:numPr>
                <w:ilvl w:val="0"/>
                <w:numId w:val="1"/>
              </w:numPr>
              <w:spacing w:before="120" w:after="120" w:line="276" w:lineRule="auto"/>
              <w:rPr>
                <w:rFonts w:eastAsia="Calibri" w:cs="Segoe UI"/>
                <w:sz w:val="21"/>
                <w:szCs w:val="21"/>
              </w:rPr>
            </w:pPr>
            <w:r w:rsidRPr="006C1FD8">
              <w:rPr>
                <w:rFonts w:eastAsia="Calibri" w:cs="Segoe UI"/>
                <w:sz w:val="21"/>
                <w:szCs w:val="21"/>
              </w:rPr>
              <w:t>To maintain independence, Morningstar Australasia does not provide qualitative research on Morningstar Investment Management Products.</w:t>
            </w:r>
          </w:p>
        </w:tc>
      </w:tr>
    </w:tbl>
    <w:p w14:paraId="5963CE97" w14:textId="17A424AF" w:rsidR="00BC3FB4" w:rsidRDefault="00BC3FB4" w:rsidP="00BC3FB4">
      <w:pPr>
        <w:pStyle w:val="Heading3"/>
      </w:pPr>
    </w:p>
    <w:p w14:paraId="1F7911CE" w14:textId="77777777" w:rsidR="00BC3FB4" w:rsidRDefault="00BC3FB4">
      <w:pPr>
        <w:rPr>
          <w:rFonts w:asciiTheme="majorHAnsi" w:eastAsiaTheme="majorEastAsia" w:hAnsiTheme="majorHAnsi" w:cstheme="majorBidi"/>
          <w:color w:val="2F5496" w:themeColor="accent1" w:themeShade="BF"/>
          <w:sz w:val="32"/>
          <w:szCs w:val="32"/>
        </w:rPr>
      </w:pPr>
      <w:r>
        <w:br w:type="page"/>
      </w:r>
    </w:p>
    <w:p w14:paraId="0C23C607" w14:textId="0550248F" w:rsidR="00BC3FB4" w:rsidRDefault="00BC3FB4" w:rsidP="00BC3FB4">
      <w:pPr>
        <w:pStyle w:val="Heading2"/>
      </w:pPr>
      <w:bookmarkStart w:id="26" w:name="_Toc130885785"/>
      <w:r>
        <w:lastRenderedPageBreak/>
        <w:t>Key Benefits and Risks</w:t>
      </w:r>
      <w:bookmarkEnd w:id="26"/>
    </w:p>
    <w:p w14:paraId="1E134622" w14:textId="77777777" w:rsidR="00BC3FB4" w:rsidRDefault="00BC3FB4" w:rsidP="00BC3FB4">
      <w:pPr>
        <w:pStyle w:val="Heading3"/>
      </w:pPr>
      <w:bookmarkStart w:id="27" w:name="_Toc130885786"/>
      <w:r>
        <w:t>Benefits</w:t>
      </w:r>
      <w:bookmarkEnd w:id="27"/>
    </w:p>
    <w:p w14:paraId="64763927" w14:textId="4670DAFD" w:rsidR="00BC3FB4" w:rsidRDefault="00BC3FB4" w:rsidP="00BC3FB4">
      <w:pPr>
        <w:pStyle w:val="ListParagraph"/>
        <w:widowControl w:val="0"/>
        <w:numPr>
          <w:ilvl w:val="0"/>
          <w:numId w:val="2"/>
        </w:numPr>
        <w:tabs>
          <w:tab w:val="left" w:pos="940"/>
          <w:tab w:val="left" w:pos="941"/>
        </w:tabs>
        <w:autoSpaceDE w:val="0"/>
        <w:autoSpaceDN w:val="0"/>
        <w:spacing w:before="182" w:after="0" w:line="240" w:lineRule="auto"/>
        <w:ind w:right="218"/>
        <w:contextualSpacing w:val="0"/>
      </w:pPr>
      <w:r>
        <w:t xml:space="preserve">Investing in Morningstar’s </w:t>
      </w:r>
      <w:proofErr w:type="spellStart"/>
      <w:r>
        <w:t>Medalist</w:t>
      </w:r>
      <w:proofErr w:type="spellEnd"/>
      <w:r>
        <w:t xml:space="preserve"> Core Portfolios will provide you access</w:t>
      </w:r>
      <w:r>
        <w:rPr>
          <w:spacing w:val="-7"/>
        </w:rPr>
        <w:t xml:space="preserve"> </w:t>
      </w:r>
      <w:r>
        <w:t>to</w:t>
      </w:r>
      <w:r>
        <w:rPr>
          <w:spacing w:val="-3"/>
        </w:rPr>
        <w:t xml:space="preserve"> </w:t>
      </w:r>
      <w:r>
        <w:t>professional</w:t>
      </w:r>
      <w:r>
        <w:rPr>
          <w:spacing w:val="-5"/>
        </w:rPr>
        <w:t xml:space="preserve"> </w:t>
      </w:r>
      <w:r>
        <w:t>investment</w:t>
      </w:r>
      <w:r>
        <w:rPr>
          <w:spacing w:val="-6"/>
        </w:rPr>
        <w:t xml:space="preserve"> </w:t>
      </w:r>
      <w:r>
        <w:t>management</w:t>
      </w:r>
      <w:r>
        <w:rPr>
          <w:spacing w:val="-4"/>
        </w:rPr>
        <w:t xml:space="preserve"> </w:t>
      </w:r>
      <w:r>
        <w:t>and</w:t>
      </w:r>
      <w:r>
        <w:rPr>
          <w:spacing w:val="-6"/>
        </w:rPr>
        <w:t xml:space="preserve"> </w:t>
      </w:r>
      <w:r>
        <w:t>portfolio</w:t>
      </w:r>
      <w:r>
        <w:rPr>
          <w:spacing w:val="-8"/>
        </w:rPr>
        <w:t xml:space="preserve"> </w:t>
      </w:r>
      <w:r>
        <w:t>monitoring</w:t>
      </w:r>
      <w:r>
        <w:rPr>
          <w:spacing w:val="-5"/>
        </w:rPr>
        <w:t xml:space="preserve"> </w:t>
      </w:r>
      <w:r>
        <w:t>from</w:t>
      </w:r>
      <w:r>
        <w:rPr>
          <w:spacing w:val="-6"/>
        </w:rPr>
        <w:t xml:space="preserve"> </w:t>
      </w:r>
      <w:r>
        <w:t>Morningstar,</w:t>
      </w:r>
      <w:r>
        <w:rPr>
          <w:spacing w:val="-7"/>
        </w:rPr>
        <w:t xml:space="preserve"> </w:t>
      </w:r>
      <w:r>
        <w:t>a</w:t>
      </w:r>
      <w:r>
        <w:rPr>
          <w:spacing w:val="-7"/>
        </w:rPr>
        <w:t xml:space="preserve"> </w:t>
      </w:r>
      <w:r>
        <w:t>market</w:t>
      </w:r>
      <w:r>
        <w:rPr>
          <w:spacing w:val="-6"/>
        </w:rPr>
        <w:t xml:space="preserve"> </w:t>
      </w:r>
      <w:r>
        <w:t>leading</w:t>
      </w:r>
      <w:r w:rsidR="00A857B7">
        <w:t xml:space="preserve"> </w:t>
      </w:r>
      <w:r>
        <w:rPr>
          <w:spacing w:val="-47"/>
        </w:rPr>
        <w:t xml:space="preserve"> </w:t>
      </w:r>
      <w:r>
        <w:t>global</w:t>
      </w:r>
      <w:r>
        <w:rPr>
          <w:spacing w:val="-1"/>
        </w:rPr>
        <w:t xml:space="preserve"> </w:t>
      </w:r>
      <w:r>
        <w:t>investment research</w:t>
      </w:r>
      <w:r>
        <w:rPr>
          <w:spacing w:val="-3"/>
        </w:rPr>
        <w:t xml:space="preserve"> </w:t>
      </w:r>
      <w:r>
        <w:t>&amp;</w:t>
      </w:r>
      <w:r>
        <w:rPr>
          <w:spacing w:val="1"/>
        </w:rPr>
        <w:t xml:space="preserve"> </w:t>
      </w:r>
      <w:r>
        <w:t>portfolio</w:t>
      </w:r>
      <w:r>
        <w:rPr>
          <w:spacing w:val="-1"/>
        </w:rPr>
        <w:t xml:space="preserve"> </w:t>
      </w:r>
      <w:r>
        <w:t xml:space="preserve">management </w:t>
      </w:r>
      <w:proofErr w:type="gramStart"/>
      <w:r>
        <w:t>company</w:t>
      </w:r>
      <w:proofErr w:type="gramEnd"/>
    </w:p>
    <w:p w14:paraId="26BD66C9" w14:textId="77777777" w:rsidR="00BC3FB4" w:rsidRDefault="00BC3FB4" w:rsidP="00BC3FB4">
      <w:pPr>
        <w:pStyle w:val="ListParagraph"/>
        <w:widowControl w:val="0"/>
        <w:numPr>
          <w:ilvl w:val="0"/>
          <w:numId w:val="2"/>
        </w:numPr>
        <w:tabs>
          <w:tab w:val="left" w:pos="1080"/>
        </w:tabs>
        <w:autoSpaceDE w:val="0"/>
        <w:autoSpaceDN w:val="0"/>
        <w:spacing w:before="86" w:after="0" w:line="240" w:lineRule="auto"/>
        <w:ind w:right="562"/>
        <w:contextualSpacing w:val="0"/>
      </w:pPr>
      <w:r>
        <w:t>Your portfolio will be invested according to Morningstar’s best</w:t>
      </w:r>
      <w:r w:rsidRPr="00BC3FB4">
        <w:rPr>
          <w:spacing w:val="40"/>
        </w:rPr>
        <w:t xml:space="preserve"> </w:t>
      </w:r>
      <w:r>
        <w:t xml:space="preserve">ideas and your portfolio is regularly monitored by global professionals to ensure you continue to be appropriately invested, even between reviews. </w:t>
      </w:r>
    </w:p>
    <w:p w14:paraId="680BBF4F" w14:textId="7BAD6D07" w:rsidR="00BC3FB4" w:rsidRPr="00BC3FB4" w:rsidRDefault="00BC3FB4" w:rsidP="00BC3FB4">
      <w:pPr>
        <w:pStyle w:val="ListParagraph"/>
        <w:widowControl w:val="0"/>
        <w:numPr>
          <w:ilvl w:val="0"/>
          <w:numId w:val="2"/>
        </w:numPr>
        <w:tabs>
          <w:tab w:val="left" w:pos="1080"/>
        </w:tabs>
        <w:autoSpaceDE w:val="0"/>
        <w:autoSpaceDN w:val="0"/>
        <w:spacing w:before="86" w:after="0" w:line="240" w:lineRule="auto"/>
        <w:ind w:right="562"/>
        <w:contextualSpacing w:val="0"/>
      </w:pPr>
      <w:r w:rsidRPr="00BC3FB4">
        <w:rPr>
          <w:color w:val="1D1D1D"/>
        </w:rPr>
        <w:t xml:space="preserve">Your portfolio is </w:t>
      </w:r>
      <w:r w:rsidR="007D5F05">
        <w:rPr>
          <w:color w:val="1D1D1D"/>
        </w:rPr>
        <w:t>based on</w:t>
      </w:r>
      <w:r w:rsidRPr="00BC3FB4">
        <w:rPr>
          <w:color w:val="1D1D1D"/>
        </w:rPr>
        <w:t xml:space="preserve"> Morningstar</w:t>
      </w:r>
      <w:r w:rsidR="00A857B7">
        <w:rPr>
          <w:color w:val="1D1D1D"/>
        </w:rPr>
        <w:t xml:space="preserve"> Australasia</w:t>
      </w:r>
      <w:r w:rsidRPr="00BC3FB4">
        <w:rPr>
          <w:color w:val="1D1D1D"/>
        </w:rPr>
        <w:t>’s</w:t>
      </w:r>
      <w:r w:rsidRPr="00BC3FB4">
        <w:rPr>
          <w:color w:val="1D1D1D"/>
          <w:spacing w:val="-8"/>
        </w:rPr>
        <w:t xml:space="preserve"> </w:t>
      </w:r>
      <w:r w:rsidR="00C44D3C">
        <w:rPr>
          <w:color w:val="1D1D1D"/>
        </w:rPr>
        <w:t>trusted, independent fund research</w:t>
      </w:r>
      <w:r w:rsidRPr="00BC3FB4">
        <w:rPr>
          <w:color w:val="1D1D1D"/>
        </w:rPr>
        <w:t xml:space="preserve">. </w:t>
      </w:r>
    </w:p>
    <w:p w14:paraId="23C0FDFF" w14:textId="00D2BDBC" w:rsidR="00BC3FB4" w:rsidRDefault="00BC3FB4" w:rsidP="00BC3FB4">
      <w:pPr>
        <w:pStyle w:val="ListParagraph"/>
        <w:widowControl w:val="0"/>
        <w:numPr>
          <w:ilvl w:val="0"/>
          <w:numId w:val="2"/>
        </w:numPr>
        <w:tabs>
          <w:tab w:val="left" w:pos="1080"/>
        </w:tabs>
        <w:autoSpaceDE w:val="0"/>
        <w:autoSpaceDN w:val="0"/>
        <w:spacing w:before="86" w:after="0" w:line="240" w:lineRule="auto"/>
        <w:ind w:right="562"/>
        <w:contextualSpacing w:val="0"/>
      </w:pPr>
      <w:r>
        <w:rPr>
          <w:color w:val="1D1D1D"/>
        </w:rPr>
        <w:t>Your portfolio will be invested in line with your risk profile, ensuring that you are not taking unnecessary risks with your money.</w:t>
      </w:r>
    </w:p>
    <w:p w14:paraId="6E9725EA" w14:textId="01BB7924" w:rsidR="00BC3FB4" w:rsidRDefault="00BC3FB4" w:rsidP="00BC3FB4">
      <w:pPr>
        <w:pStyle w:val="ListParagraph"/>
        <w:widowControl w:val="0"/>
        <w:numPr>
          <w:ilvl w:val="0"/>
          <w:numId w:val="2"/>
        </w:numPr>
        <w:tabs>
          <w:tab w:val="left" w:pos="940"/>
          <w:tab w:val="left" w:pos="941"/>
        </w:tabs>
        <w:autoSpaceDE w:val="0"/>
        <w:autoSpaceDN w:val="0"/>
        <w:spacing w:before="4" w:after="0" w:line="240" w:lineRule="auto"/>
        <w:contextualSpacing w:val="0"/>
      </w:pPr>
      <w:r>
        <w:rPr>
          <w:color w:val="1D1D1D"/>
        </w:rPr>
        <w:t>Morningstar’s approach to investing your money aims to maximise returns over the long term, whilst minimising fees</w:t>
      </w:r>
      <w:r>
        <w:t>.</w:t>
      </w:r>
    </w:p>
    <w:p w14:paraId="0FFBAEB7" w14:textId="77777777" w:rsidR="00BC3FB4" w:rsidRPr="00BC3FB4" w:rsidRDefault="00BC3FB4" w:rsidP="00BC3FB4">
      <w:pPr>
        <w:pStyle w:val="ListParagraph"/>
        <w:widowControl w:val="0"/>
        <w:numPr>
          <w:ilvl w:val="0"/>
          <w:numId w:val="2"/>
        </w:numPr>
        <w:tabs>
          <w:tab w:val="left" w:pos="940"/>
          <w:tab w:val="left" w:pos="941"/>
        </w:tabs>
        <w:autoSpaceDE w:val="0"/>
        <w:autoSpaceDN w:val="0"/>
        <w:spacing w:before="4" w:after="0" w:line="240" w:lineRule="auto"/>
        <w:contextualSpacing w:val="0"/>
      </w:pPr>
      <w:r>
        <w:rPr>
          <w:color w:val="1D1D1D"/>
        </w:rPr>
        <w:t>Morningstar’s portfolios are constructed using an active/passive optimisation approach. This means they have performed significant analysis to understand which asset classes historically benefit from active management and which don’t. This allows Morningstar to minimise the fees that you pay, ideally without impacting your investment returns over the long term.</w:t>
      </w:r>
    </w:p>
    <w:p w14:paraId="10230FE1" w14:textId="3EBC6405" w:rsidR="00BC3FB4" w:rsidRPr="00BC3FB4" w:rsidRDefault="00BC3FB4" w:rsidP="00BC3FB4">
      <w:pPr>
        <w:pStyle w:val="ListParagraph"/>
        <w:widowControl w:val="0"/>
        <w:numPr>
          <w:ilvl w:val="0"/>
          <w:numId w:val="2"/>
        </w:numPr>
        <w:tabs>
          <w:tab w:val="left" w:pos="940"/>
          <w:tab w:val="left" w:pos="941"/>
        </w:tabs>
        <w:autoSpaceDE w:val="0"/>
        <w:autoSpaceDN w:val="0"/>
        <w:spacing w:before="4" w:after="0" w:line="240" w:lineRule="auto"/>
        <w:contextualSpacing w:val="0"/>
      </w:pPr>
      <w:r>
        <w:rPr>
          <w:color w:val="1D1D1D"/>
        </w:rPr>
        <w:t xml:space="preserve">Being a managed account structure, your funds are automatically updated to reflect Morningstar’s best thinking. This is done on your behalf without all of the paperwork and gives you the confidence that your portfolios </w:t>
      </w:r>
      <w:proofErr w:type="gramStart"/>
      <w:r>
        <w:rPr>
          <w:color w:val="1D1D1D"/>
        </w:rPr>
        <w:t>is</w:t>
      </w:r>
      <w:proofErr w:type="gramEnd"/>
      <w:r>
        <w:rPr>
          <w:color w:val="1D1D1D"/>
        </w:rPr>
        <w:t xml:space="preserve"> keeping up with the changing market in between reviews.</w:t>
      </w:r>
    </w:p>
    <w:p w14:paraId="5C55D8D3" w14:textId="037C30B8" w:rsidR="00BC3FB4" w:rsidRDefault="00BC3FB4" w:rsidP="00BC3FB4">
      <w:pPr>
        <w:pStyle w:val="ListParagraph"/>
        <w:widowControl w:val="0"/>
        <w:numPr>
          <w:ilvl w:val="0"/>
          <w:numId w:val="2"/>
        </w:numPr>
        <w:tabs>
          <w:tab w:val="left" w:pos="940"/>
          <w:tab w:val="left" w:pos="941"/>
        </w:tabs>
        <w:autoSpaceDE w:val="0"/>
        <w:autoSpaceDN w:val="0"/>
        <w:spacing w:before="4" w:after="0" w:line="240" w:lineRule="auto"/>
        <w:contextualSpacing w:val="0"/>
      </w:pPr>
      <w:r>
        <w:t>Morningstar provides significant oversight and investment governance to ensure that your portfolio remains aligned to achieving its goals.</w:t>
      </w:r>
    </w:p>
    <w:p w14:paraId="4E65C036" w14:textId="03315607" w:rsidR="00BC3FB4" w:rsidRDefault="00BC3FB4" w:rsidP="00BC3FB4">
      <w:pPr>
        <w:pStyle w:val="Heading3"/>
      </w:pPr>
      <w:bookmarkStart w:id="28" w:name="_Toc130885787"/>
      <w:r>
        <w:t>Risks</w:t>
      </w:r>
      <w:bookmarkEnd w:id="28"/>
    </w:p>
    <w:p w14:paraId="67FCD82C" w14:textId="617DF3D1" w:rsidR="00BC3FB4" w:rsidRDefault="00BC3FB4" w:rsidP="00BC3FB4">
      <w:pPr>
        <w:pStyle w:val="ListParagraph"/>
        <w:widowControl w:val="0"/>
        <w:numPr>
          <w:ilvl w:val="0"/>
          <w:numId w:val="3"/>
        </w:numPr>
        <w:tabs>
          <w:tab w:val="left" w:pos="941"/>
        </w:tabs>
        <w:autoSpaceDE w:val="0"/>
        <w:autoSpaceDN w:val="0"/>
        <w:spacing w:before="183" w:after="0" w:line="259" w:lineRule="auto"/>
        <w:ind w:right="214"/>
        <w:contextualSpacing w:val="0"/>
        <w:jc w:val="both"/>
      </w:pPr>
      <w:r>
        <w:t>All investments carry risks</w:t>
      </w:r>
      <w:r>
        <w:rPr>
          <w:spacing w:val="-3"/>
        </w:rPr>
        <w:t xml:space="preserve"> </w:t>
      </w:r>
      <w:r>
        <w:t>which</w:t>
      </w:r>
      <w:r>
        <w:rPr>
          <w:spacing w:val="-4"/>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4"/>
        </w:rPr>
        <w:t xml:space="preserve"> </w:t>
      </w:r>
      <w:r>
        <w:t>market</w:t>
      </w:r>
      <w:r>
        <w:rPr>
          <w:spacing w:val="-3"/>
        </w:rPr>
        <w:t xml:space="preserve"> </w:t>
      </w:r>
      <w:r>
        <w:t>risk,</w:t>
      </w:r>
      <w:r>
        <w:rPr>
          <w:spacing w:val="-3"/>
        </w:rPr>
        <w:t xml:space="preserve"> </w:t>
      </w:r>
      <w:r>
        <w:t>interest</w:t>
      </w:r>
      <w:r>
        <w:rPr>
          <w:spacing w:val="-3"/>
        </w:rPr>
        <w:t xml:space="preserve"> </w:t>
      </w:r>
      <w:r>
        <w:t>rate</w:t>
      </w:r>
      <w:r>
        <w:rPr>
          <w:spacing w:val="-3"/>
        </w:rPr>
        <w:t xml:space="preserve"> </w:t>
      </w:r>
      <w:r>
        <w:t>risk,</w:t>
      </w:r>
      <w:r>
        <w:rPr>
          <w:spacing w:val="-2"/>
        </w:rPr>
        <w:t xml:space="preserve"> </w:t>
      </w:r>
      <w:r>
        <w:t>currency</w:t>
      </w:r>
      <w:r>
        <w:rPr>
          <w:spacing w:val="-3"/>
        </w:rPr>
        <w:t xml:space="preserve"> </w:t>
      </w:r>
      <w:r>
        <w:t>risk,</w:t>
      </w:r>
      <w:r>
        <w:rPr>
          <w:spacing w:val="-3"/>
        </w:rPr>
        <w:t xml:space="preserve"> </w:t>
      </w:r>
      <w:r>
        <w:t>credit</w:t>
      </w:r>
      <w:r>
        <w:rPr>
          <w:spacing w:val="-3"/>
        </w:rPr>
        <w:t xml:space="preserve"> </w:t>
      </w:r>
      <w:r>
        <w:t>risk</w:t>
      </w:r>
      <w:r>
        <w:rPr>
          <w:spacing w:val="-5"/>
        </w:rPr>
        <w:t xml:space="preserve"> </w:t>
      </w:r>
      <w:r>
        <w:t xml:space="preserve">&amp; </w:t>
      </w:r>
      <w:r>
        <w:rPr>
          <w:spacing w:val="-48"/>
        </w:rPr>
        <w:t xml:space="preserve"> </w:t>
      </w:r>
      <w:r>
        <w:t>geo-political risk. Each of the underlying investment fund options may experience poor or negative returns</w:t>
      </w:r>
      <w:r>
        <w:rPr>
          <w:spacing w:val="1"/>
        </w:rPr>
        <w:t xml:space="preserve"> </w:t>
      </w:r>
      <w:r>
        <w:t>from</w:t>
      </w:r>
      <w:r>
        <w:rPr>
          <w:spacing w:val="-3"/>
        </w:rPr>
        <w:t xml:space="preserve"> </w:t>
      </w:r>
      <w:r>
        <w:t>time</w:t>
      </w:r>
      <w:r>
        <w:rPr>
          <w:spacing w:val="-2"/>
        </w:rPr>
        <w:t xml:space="preserve"> </w:t>
      </w:r>
      <w:r>
        <w:t>to</w:t>
      </w:r>
      <w:r>
        <w:rPr>
          <w:spacing w:val="-1"/>
        </w:rPr>
        <w:t xml:space="preserve"> </w:t>
      </w:r>
      <w:r>
        <w:t>time. This is true of any investment portfolio.</w:t>
      </w:r>
    </w:p>
    <w:p w14:paraId="69FE0432" w14:textId="77777777" w:rsidR="00BC3FB4" w:rsidRDefault="00BC3FB4" w:rsidP="00BC3FB4">
      <w:pPr>
        <w:pStyle w:val="ListParagraph"/>
        <w:widowControl w:val="0"/>
        <w:numPr>
          <w:ilvl w:val="0"/>
          <w:numId w:val="3"/>
        </w:numPr>
        <w:tabs>
          <w:tab w:val="left" w:pos="941"/>
        </w:tabs>
        <w:autoSpaceDE w:val="0"/>
        <w:autoSpaceDN w:val="0"/>
        <w:spacing w:after="0" w:line="259" w:lineRule="auto"/>
        <w:ind w:right="214"/>
        <w:contextualSpacing w:val="0"/>
        <w:jc w:val="both"/>
      </w:pPr>
      <w:r>
        <w:t>Manager risk which includes the risk that the investment selections that Morningstar makes do not perform</w:t>
      </w:r>
      <w:r>
        <w:rPr>
          <w:spacing w:val="1"/>
        </w:rPr>
        <w:t xml:space="preserve"> </w:t>
      </w:r>
      <w:r>
        <w:t>as</w:t>
      </w:r>
      <w:r>
        <w:rPr>
          <w:spacing w:val="-1"/>
        </w:rPr>
        <w:t xml:space="preserve"> </w:t>
      </w:r>
      <w:r>
        <w:t>intended</w:t>
      </w:r>
      <w:r>
        <w:rPr>
          <w:spacing w:val="-3"/>
        </w:rPr>
        <w:t xml:space="preserve"> </w:t>
      </w:r>
      <w:r>
        <w:t>or that</w:t>
      </w:r>
      <w:r>
        <w:rPr>
          <w:spacing w:val="-2"/>
        </w:rPr>
        <w:t xml:space="preserve"> </w:t>
      </w:r>
      <w:r>
        <w:t>Morningstar may</w:t>
      </w:r>
      <w:r>
        <w:rPr>
          <w:spacing w:val="1"/>
        </w:rPr>
        <w:t xml:space="preserve"> </w:t>
      </w:r>
      <w:r>
        <w:t>lose</w:t>
      </w:r>
      <w:r>
        <w:rPr>
          <w:spacing w:val="-2"/>
        </w:rPr>
        <w:t xml:space="preserve"> </w:t>
      </w:r>
      <w:r>
        <w:t>key portfolio</w:t>
      </w:r>
      <w:r>
        <w:rPr>
          <w:spacing w:val="-1"/>
        </w:rPr>
        <w:t xml:space="preserve"> </w:t>
      </w:r>
      <w:r>
        <w:t>management</w:t>
      </w:r>
      <w:r>
        <w:rPr>
          <w:spacing w:val="-3"/>
        </w:rPr>
        <w:t xml:space="preserve"> </w:t>
      </w:r>
      <w:r>
        <w:t>and/or research</w:t>
      </w:r>
      <w:r>
        <w:rPr>
          <w:spacing w:val="-1"/>
        </w:rPr>
        <w:t xml:space="preserve"> </w:t>
      </w:r>
      <w:r>
        <w:t>staff.</w:t>
      </w:r>
    </w:p>
    <w:p w14:paraId="3871A98B" w14:textId="0F5E27C9" w:rsidR="00BC3FB4" w:rsidRPr="00BC3FB4" w:rsidRDefault="00BC3FB4" w:rsidP="00BC3FB4">
      <w:pPr>
        <w:pStyle w:val="ListParagraph"/>
        <w:widowControl w:val="0"/>
        <w:numPr>
          <w:ilvl w:val="0"/>
          <w:numId w:val="3"/>
        </w:numPr>
        <w:autoSpaceDE w:val="0"/>
        <w:autoSpaceDN w:val="0"/>
        <w:spacing w:after="0" w:line="259" w:lineRule="auto"/>
        <w:ind w:right="215"/>
        <w:contextualSpacing w:val="0"/>
        <w:jc w:val="both"/>
        <w:rPr>
          <w:color w:val="1F3763" w:themeColor="accent1" w:themeShade="7F"/>
          <w:sz w:val="24"/>
          <w:szCs w:val="24"/>
        </w:rPr>
      </w:pPr>
      <w:r>
        <w:t>Administrative risk which includes the risk that the administration of your managed account may mean that</w:t>
      </w:r>
      <w:r w:rsidRPr="00BC3FB4">
        <w:rPr>
          <w:spacing w:val="1"/>
        </w:rPr>
        <w:t xml:space="preserve"> </w:t>
      </w:r>
      <w:r>
        <w:t xml:space="preserve">your holdings not exactly match the model manager’s chosen selections from time to time. Morningstar has invested significant time, resources, and money over the past three decades to build a robust operations process ensuring that investors are as closely aligned to their best thinking as possible. </w:t>
      </w:r>
    </w:p>
    <w:p w14:paraId="0F201D73" w14:textId="3413BCA0" w:rsidR="00BC3FB4" w:rsidRDefault="00BC3FB4" w:rsidP="00BC3FB4">
      <w:pPr>
        <w:pStyle w:val="ListParagraph"/>
        <w:widowControl w:val="0"/>
        <w:numPr>
          <w:ilvl w:val="0"/>
          <w:numId w:val="3"/>
        </w:numPr>
        <w:autoSpaceDE w:val="0"/>
        <w:autoSpaceDN w:val="0"/>
        <w:spacing w:after="0" w:line="259" w:lineRule="auto"/>
        <w:ind w:right="215"/>
        <w:contextualSpacing w:val="0"/>
        <w:jc w:val="both"/>
      </w:pPr>
      <w:r>
        <w:t>Transactions and</w:t>
      </w:r>
      <w:r w:rsidRPr="00BC3FB4">
        <w:rPr>
          <w:spacing w:val="1"/>
        </w:rPr>
        <w:t xml:space="preserve"> </w:t>
      </w:r>
      <w:r>
        <w:t>the</w:t>
      </w:r>
      <w:r w:rsidRPr="00BC3FB4">
        <w:rPr>
          <w:spacing w:val="-1"/>
        </w:rPr>
        <w:t xml:space="preserve"> </w:t>
      </w:r>
      <w:r>
        <w:t>cost</w:t>
      </w:r>
      <w:r w:rsidRPr="00BC3FB4">
        <w:rPr>
          <w:spacing w:val="-2"/>
        </w:rPr>
        <w:t xml:space="preserve"> </w:t>
      </w:r>
      <w:r>
        <w:t>of</w:t>
      </w:r>
      <w:r w:rsidRPr="00BC3FB4">
        <w:rPr>
          <w:spacing w:val="-2"/>
        </w:rPr>
        <w:t xml:space="preserve"> </w:t>
      </w:r>
      <w:r>
        <w:t>transactions</w:t>
      </w:r>
      <w:r w:rsidRPr="00BC3FB4">
        <w:rPr>
          <w:spacing w:val="-2"/>
        </w:rPr>
        <w:t xml:space="preserve"> </w:t>
      </w:r>
      <w:r>
        <w:t>may impact</w:t>
      </w:r>
      <w:r w:rsidRPr="00BC3FB4">
        <w:rPr>
          <w:spacing w:val="-2"/>
        </w:rPr>
        <w:t xml:space="preserve"> </w:t>
      </w:r>
      <w:r>
        <w:t>your</w:t>
      </w:r>
      <w:r w:rsidRPr="00BC3FB4">
        <w:rPr>
          <w:spacing w:val="-3"/>
        </w:rPr>
        <w:t xml:space="preserve"> </w:t>
      </w:r>
      <w:r>
        <w:t xml:space="preserve">portfolio’s performance. </w:t>
      </w:r>
    </w:p>
    <w:p w14:paraId="1DCB1A54" w14:textId="704C57AB" w:rsidR="00BC3FB4" w:rsidRDefault="00BC3FB4" w:rsidP="00BC3FB4">
      <w:r>
        <w:br w:type="page"/>
      </w:r>
    </w:p>
    <w:p w14:paraId="2A9BF045" w14:textId="66434CC6" w:rsidR="00FD71A2" w:rsidRDefault="00FD71A2" w:rsidP="00FD71A2">
      <w:pPr>
        <w:pStyle w:val="Heading2"/>
      </w:pPr>
      <w:bookmarkStart w:id="29" w:name="_Toc130885788"/>
      <w:r>
        <w:lastRenderedPageBreak/>
        <w:t>Fees</w:t>
      </w:r>
      <w:bookmarkEnd w:id="29"/>
    </w:p>
    <w:tbl>
      <w:tblPr>
        <w:tblStyle w:val="GridTable4-Accent5"/>
        <w:tblW w:w="0" w:type="auto"/>
        <w:tblLook w:val="04A0" w:firstRow="1" w:lastRow="0" w:firstColumn="1" w:lastColumn="0" w:noHBand="0" w:noVBand="1"/>
      </w:tblPr>
      <w:tblGrid>
        <w:gridCol w:w="1412"/>
        <w:gridCol w:w="1443"/>
        <w:gridCol w:w="1393"/>
        <w:gridCol w:w="1843"/>
        <w:gridCol w:w="1417"/>
        <w:gridCol w:w="1508"/>
      </w:tblGrid>
      <w:tr w:rsidR="0062165C" w14:paraId="5286E5FE" w14:textId="77777777" w:rsidTr="00621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14:paraId="2F9B1D8D" w14:textId="603F427F" w:rsidR="0062165C" w:rsidRPr="00D35FF3" w:rsidRDefault="0062165C" w:rsidP="00FD71A2">
            <w:r w:rsidRPr="00D35FF3">
              <w:t>Portfolio</w:t>
            </w:r>
          </w:p>
        </w:tc>
        <w:tc>
          <w:tcPr>
            <w:tcW w:w="1443" w:type="dxa"/>
          </w:tcPr>
          <w:p w14:paraId="6CC96EB4" w14:textId="4FB63C49" w:rsidR="0062165C" w:rsidRPr="00D35FF3" w:rsidRDefault="008D79BA" w:rsidP="00D35FF3">
            <w:pPr>
              <w:jc w:val="center"/>
              <w:cnfStyle w:val="100000000000" w:firstRow="1" w:lastRow="0" w:firstColumn="0" w:lastColumn="0" w:oddVBand="0" w:evenVBand="0" w:oddHBand="0" w:evenHBand="0" w:firstRowFirstColumn="0" w:firstRowLastColumn="0" w:lastRowFirstColumn="0" w:lastRowLastColumn="0"/>
            </w:pPr>
            <w:r>
              <w:t xml:space="preserve">Investment </w:t>
            </w:r>
            <w:r w:rsidR="0062165C" w:rsidRPr="00D35FF3">
              <w:t>Management Fee</w:t>
            </w:r>
          </w:p>
        </w:tc>
        <w:tc>
          <w:tcPr>
            <w:tcW w:w="1393" w:type="dxa"/>
          </w:tcPr>
          <w:p w14:paraId="0BB75980" w14:textId="0C8FCEDB" w:rsidR="0062165C" w:rsidRPr="00D35FF3" w:rsidRDefault="0062165C" w:rsidP="00D35FF3">
            <w:pPr>
              <w:jc w:val="center"/>
              <w:cnfStyle w:val="100000000000" w:firstRow="1" w:lastRow="0" w:firstColumn="0" w:lastColumn="0" w:oddVBand="0" w:evenVBand="0" w:oddHBand="0" w:evenHBand="0" w:firstRowFirstColumn="0" w:firstRowLastColumn="0" w:lastRowFirstColumn="0" w:lastRowLastColumn="0"/>
            </w:pPr>
            <w:r>
              <w:t>Indirect Cost (Pre-Rebate)</w:t>
            </w:r>
          </w:p>
        </w:tc>
        <w:tc>
          <w:tcPr>
            <w:tcW w:w="1843" w:type="dxa"/>
          </w:tcPr>
          <w:p w14:paraId="06A8F059" w14:textId="3B3A5A96" w:rsidR="0062165C" w:rsidRPr="00D35FF3" w:rsidRDefault="0062165C" w:rsidP="00D35FF3">
            <w:pPr>
              <w:jc w:val="center"/>
              <w:cnfStyle w:val="100000000000" w:firstRow="1" w:lastRow="0" w:firstColumn="0" w:lastColumn="0" w:oddVBand="0" w:evenVBand="0" w:oddHBand="0" w:evenHBand="0" w:firstRowFirstColumn="0" w:firstRowLastColumn="0" w:lastRowFirstColumn="0" w:lastRowLastColumn="0"/>
            </w:pPr>
            <w:r w:rsidRPr="00D35FF3">
              <w:t>Indirect Cost</w:t>
            </w:r>
            <w:r>
              <w:t xml:space="preserve"> (Post Rebate)</w:t>
            </w:r>
          </w:p>
        </w:tc>
        <w:tc>
          <w:tcPr>
            <w:tcW w:w="1417" w:type="dxa"/>
          </w:tcPr>
          <w:p w14:paraId="34136122" w14:textId="2F5E9C5C" w:rsidR="0062165C" w:rsidRPr="00D35FF3" w:rsidRDefault="0062165C" w:rsidP="00D35FF3">
            <w:pPr>
              <w:jc w:val="center"/>
              <w:cnfStyle w:val="100000000000" w:firstRow="1" w:lastRow="0" w:firstColumn="0" w:lastColumn="0" w:oddVBand="0" w:evenVBand="0" w:oddHBand="0" w:evenHBand="0" w:firstRowFirstColumn="0" w:firstRowLastColumn="0" w:lastRowFirstColumn="0" w:lastRowLastColumn="0"/>
            </w:pPr>
            <w:r>
              <w:t>Total Fee (Pre-Rebate)</w:t>
            </w:r>
          </w:p>
        </w:tc>
        <w:tc>
          <w:tcPr>
            <w:tcW w:w="1508" w:type="dxa"/>
          </w:tcPr>
          <w:p w14:paraId="1A192AAD" w14:textId="0E023D1B" w:rsidR="0062165C" w:rsidRPr="00D35FF3" w:rsidRDefault="0062165C" w:rsidP="00D35FF3">
            <w:pPr>
              <w:jc w:val="center"/>
              <w:cnfStyle w:val="100000000000" w:firstRow="1" w:lastRow="0" w:firstColumn="0" w:lastColumn="0" w:oddVBand="0" w:evenVBand="0" w:oddHBand="0" w:evenHBand="0" w:firstRowFirstColumn="0" w:firstRowLastColumn="0" w:lastRowFirstColumn="0" w:lastRowLastColumn="0"/>
            </w:pPr>
            <w:r w:rsidRPr="00D35FF3">
              <w:t>Total Fee</w:t>
            </w:r>
            <w:r>
              <w:t xml:space="preserve"> (Post Rebate)</w:t>
            </w:r>
          </w:p>
        </w:tc>
      </w:tr>
      <w:tr w:rsidR="0062165C" w14:paraId="607602EC" w14:textId="77777777" w:rsidTr="0062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14:paraId="39298325" w14:textId="7719335D" w:rsidR="0062165C" w:rsidRPr="00FD71A2" w:rsidRDefault="0062165C" w:rsidP="00FD71A2">
            <w:pPr>
              <w:rPr>
                <w:b w:val="0"/>
                <w:bCs w:val="0"/>
              </w:rPr>
            </w:pPr>
            <w:r>
              <w:rPr>
                <w:b w:val="0"/>
                <w:bCs w:val="0"/>
              </w:rPr>
              <w:t>Conservative</w:t>
            </w:r>
          </w:p>
        </w:tc>
        <w:tc>
          <w:tcPr>
            <w:tcW w:w="1443" w:type="dxa"/>
          </w:tcPr>
          <w:p w14:paraId="0898E25C" w14:textId="10D9606E"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0.275%</w:t>
            </w:r>
          </w:p>
        </w:tc>
        <w:tc>
          <w:tcPr>
            <w:tcW w:w="1393" w:type="dxa"/>
          </w:tcPr>
          <w:p w14:paraId="2B018206" w14:textId="4BD20EFE" w:rsidR="0062165C" w:rsidRDefault="0062165C" w:rsidP="008953DA">
            <w:pPr>
              <w:jc w:val="center"/>
              <w:cnfStyle w:val="000000100000" w:firstRow="0" w:lastRow="0" w:firstColumn="0" w:lastColumn="0" w:oddVBand="0" w:evenVBand="0" w:oddHBand="1" w:evenHBand="0" w:firstRowFirstColumn="0" w:firstRowLastColumn="0" w:lastRowFirstColumn="0" w:lastRowLastColumn="0"/>
            </w:pPr>
            <w:r>
              <w:t>0.369%</w:t>
            </w:r>
          </w:p>
        </w:tc>
        <w:tc>
          <w:tcPr>
            <w:tcW w:w="1843" w:type="dxa"/>
          </w:tcPr>
          <w:p w14:paraId="6C309493" w14:textId="13F14C1C"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0.303%</w:t>
            </w:r>
          </w:p>
        </w:tc>
        <w:tc>
          <w:tcPr>
            <w:tcW w:w="1417" w:type="dxa"/>
          </w:tcPr>
          <w:p w14:paraId="2AE081E8" w14:textId="3A1709CA" w:rsidR="0062165C" w:rsidRDefault="0062165C" w:rsidP="008953DA">
            <w:pPr>
              <w:jc w:val="center"/>
              <w:cnfStyle w:val="000000100000" w:firstRow="0" w:lastRow="0" w:firstColumn="0" w:lastColumn="0" w:oddVBand="0" w:evenVBand="0" w:oddHBand="1" w:evenHBand="0" w:firstRowFirstColumn="0" w:firstRowLastColumn="0" w:lastRowFirstColumn="0" w:lastRowLastColumn="0"/>
            </w:pPr>
            <w:r>
              <w:t>0.644%</w:t>
            </w:r>
          </w:p>
        </w:tc>
        <w:tc>
          <w:tcPr>
            <w:tcW w:w="1508" w:type="dxa"/>
          </w:tcPr>
          <w:p w14:paraId="1EC0AB3D" w14:textId="66822C0B"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0.578%</w:t>
            </w:r>
          </w:p>
        </w:tc>
      </w:tr>
      <w:tr w:rsidR="0062165C" w14:paraId="16950953" w14:textId="77777777" w:rsidTr="0062165C">
        <w:tc>
          <w:tcPr>
            <w:cnfStyle w:val="001000000000" w:firstRow="0" w:lastRow="0" w:firstColumn="1" w:lastColumn="0" w:oddVBand="0" w:evenVBand="0" w:oddHBand="0" w:evenHBand="0" w:firstRowFirstColumn="0" w:firstRowLastColumn="0" w:lastRowFirstColumn="0" w:lastRowLastColumn="0"/>
            <w:tcW w:w="1412" w:type="dxa"/>
          </w:tcPr>
          <w:p w14:paraId="00664B5A" w14:textId="546ED76C" w:rsidR="0062165C" w:rsidRDefault="0062165C" w:rsidP="00FD71A2">
            <w:pPr>
              <w:rPr>
                <w:b w:val="0"/>
                <w:bCs w:val="0"/>
              </w:rPr>
            </w:pPr>
            <w:r>
              <w:rPr>
                <w:b w:val="0"/>
                <w:bCs w:val="0"/>
              </w:rPr>
              <w:t>Moderate</w:t>
            </w:r>
          </w:p>
        </w:tc>
        <w:tc>
          <w:tcPr>
            <w:tcW w:w="1443" w:type="dxa"/>
          </w:tcPr>
          <w:p w14:paraId="6F656162" w14:textId="241DC0BE"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0.275%</w:t>
            </w:r>
          </w:p>
        </w:tc>
        <w:tc>
          <w:tcPr>
            <w:tcW w:w="1393" w:type="dxa"/>
          </w:tcPr>
          <w:p w14:paraId="56F4F7A9" w14:textId="0A2EA754" w:rsidR="0062165C" w:rsidRPr="00D35FF3" w:rsidRDefault="0062165C" w:rsidP="008953DA">
            <w:pPr>
              <w:jc w:val="center"/>
              <w:cnfStyle w:val="000000000000" w:firstRow="0" w:lastRow="0" w:firstColumn="0" w:lastColumn="0" w:oddVBand="0" w:evenVBand="0" w:oddHBand="0" w:evenHBand="0" w:firstRowFirstColumn="0" w:firstRowLastColumn="0" w:lastRowFirstColumn="0" w:lastRowLastColumn="0"/>
            </w:pPr>
            <w:r>
              <w:t>0.430%</w:t>
            </w:r>
          </w:p>
        </w:tc>
        <w:tc>
          <w:tcPr>
            <w:tcW w:w="1843" w:type="dxa"/>
          </w:tcPr>
          <w:p w14:paraId="1F55D475" w14:textId="73E5EE54"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0.359%</w:t>
            </w:r>
          </w:p>
        </w:tc>
        <w:tc>
          <w:tcPr>
            <w:tcW w:w="1417" w:type="dxa"/>
          </w:tcPr>
          <w:p w14:paraId="3274470B" w14:textId="4B2A82C1" w:rsidR="0062165C" w:rsidRDefault="0062165C" w:rsidP="008953DA">
            <w:pPr>
              <w:jc w:val="center"/>
              <w:cnfStyle w:val="000000000000" w:firstRow="0" w:lastRow="0" w:firstColumn="0" w:lastColumn="0" w:oddVBand="0" w:evenVBand="0" w:oddHBand="0" w:evenHBand="0" w:firstRowFirstColumn="0" w:firstRowLastColumn="0" w:lastRowFirstColumn="0" w:lastRowLastColumn="0"/>
            </w:pPr>
            <w:r>
              <w:t>0.705%</w:t>
            </w:r>
          </w:p>
        </w:tc>
        <w:tc>
          <w:tcPr>
            <w:tcW w:w="1508" w:type="dxa"/>
          </w:tcPr>
          <w:p w14:paraId="3AC444ED" w14:textId="01E467F1"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0.634%</w:t>
            </w:r>
          </w:p>
        </w:tc>
      </w:tr>
      <w:tr w:rsidR="0062165C" w14:paraId="2D5DEA10" w14:textId="77777777" w:rsidTr="0062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14:paraId="1624583E" w14:textId="70380C2D" w:rsidR="0062165C" w:rsidRDefault="0062165C" w:rsidP="00FD71A2">
            <w:pPr>
              <w:rPr>
                <w:b w:val="0"/>
                <w:bCs w:val="0"/>
              </w:rPr>
            </w:pPr>
            <w:r>
              <w:rPr>
                <w:b w:val="0"/>
                <w:bCs w:val="0"/>
              </w:rPr>
              <w:t>Balanced</w:t>
            </w:r>
          </w:p>
        </w:tc>
        <w:tc>
          <w:tcPr>
            <w:tcW w:w="1443" w:type="dxa"/>
          </w:tcPr>
          <w:p w14:paraId="0B5A07E9" w14:textId="2478102B"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0.275%</w:t>
            </w:r>
          </w:p>
        </w:tc>
        <w:tc>
          <w:tcPr>
            <w:tcW w:w="1393" w:type="dxa"/>
          </w:tcPr>
          <w:p w14:paraId="10A2E5D0" w14:textId="0227D354" w:rsidR="0062165C" w:rsidRDefault="0062165C" w:rsidP="008953DA">
            <w:pPr>
              <w:jc w:val="center"/>
              <w:cnfStyle w:val="000000100000" w:firstRow="0" w:lastRow="0" w:firstColumn="0" w:lastColumn="0" w:oddVBand="0" w:evenVBand="0" w:oddHBand="1" w:evenHBand="0" w:firstRowFirstColumn="0" w:firstRowLastColumn="0" w:lastRowFirstColumn="0" w:lastRowLastColumn="0"/>
            </w:pPr>
            <w:r>
              <w:t>0.537%</w:t>
            </w:r>
          </w:p>
        </w:tc>
        <w:tc>
          <w:tcPr>
            <w:tcW w:w="1843" w:type="dxa"/>
          </w:tcPr>
          <w:p w14:paraId="17EE30C4" w14:textId="0ECE0502"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0.446%</w:t>
            </w:r>
          </w:p>
        </w:tc>
        <w:tc>
          <w:tcPr>
            <w:tcW w:w="1417" w:type="dxa"/>
          </w:tcPr>
          <w:p w14:paraId="0210BE4E" w14:textId="707C7C21" w:rsidR="0062165C" w:rsidRDefault="0062165C" w:rsidP="008953DA">
            <w:pPr>
              <w:jc w:val="center"/>
              <w:cnfStyle w:val="000000100000" w:firstRow="0" w:lastRow="0" w:firstColumn="0" w:lastColumn="0" w:oddVBand="0" w:evenVBand="0" w:oddHBand="1" w:evenHBand="0" w:firstRowFirstColumn="0" w:firstRowLastColumn="0" w:lastRowFirstColumn="0" w:lastRowLastColumn="0"/>
            </w:pPr>
            <w:r>
              <w:t>0.812%</w:t>
            </w:r>
          </w:p>
        </w:tc>
        <w:tc>
          <w:tcPr>
            <w:tcW w:w="1508" w:type="dxa"/>
          </w:tcPr>
          <w:p w14:paraId="27D18EBE" w14:textId="31D63735"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0.721%</w:t>
            </w:r>
          </w:p>
        </w:tc>
      </w:tr>
      <w:tr w:rsidR="0062165C" w14:paraId="5297B3FF" w14:textId="77777777" w:rsidTr="0062165C">
        <w:tc>
          <w:tcPr>
            <w:cnfStyle w:val="001000000000" w:firstRow="0" w:lastRow="0" w:firstColumn="1" w:lastColumn="0" w:oddVBand="0" w:evenVBand="0" w:oddHBand="0" w:evenHBand="0" w:firstRowFirstColumn="0" w:firstRowLastColumn="0" w:lastRowFirstColumn="0" w:lastRowLastColumn="0"/>
            <w:tcW w:w="1412" w:type="dxa"/>
          </w:tcPr>
          <w:p w14:paraId="609B39E3" w14:textId="2EC50A8E" w:rsidR="0062165C" w:rsidRDefault="0062165C" w:rsidP="00FD71A2">
            <w:pPr>
              <w:rPr>
                <w:b w:val="0"/>
                <w:bCs w:val="0"/>
              </w:rPr>
            </w:pPr>
            <w:r>
              <w:rPr>
                <w:b w:val="0"/>
                <w:bCs w:val="0"/>
              </w:rPr>
              <w:t>Growth</w:t>
            </w:r>
          </w:p>
        </w:tc>
        <w:tc>
          <w:tcPr>
            <w:tcW w:w="1443" w:type="dxa"/>
          </w:tcPr>
          <w:p w14:paraId="3E089C12" w14:textId="2D10FE9D"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0.275%</w:t>
            </w:r>
          </w:p>
        </w:tc>
        <w:tc>
          <w:tcPr>
            <w:tcW w:w="1393" w:type="dxa"/>
          </w:tcPr>
          <w:p w14:paraId="298DF2A3" w14:textId="15ECB49E" w:rsidR="0062165C" w:rsidRDefault="0062165C" w:rsidP="008953DA">
            <w:pPr>
              <w:jc w:val="center"/>
              <w:cnfStyle w:val="000000000000" w:firstRow="0" w:lastRow="0" w:firstColumn="0" w:lastColumn="0" w:oddVBand="0" w:evenVBand="0" w:oddHBand="0" w:evenHBand="0" w:firstRowFirstColumn="0" w:firstRowLastColumn="0" w:lastRowFirstColumn="0" w:lastRowLastColumn="0"/>
            </w:pPr>
            <w:r>
              <w:t>0.626%</w:t>
            </w:r>
          </w:p>
        </w:tc>
        <w:tc>
          <w:tcPr>
            <w:tcW w:w="1843" w:type="dxa"/>
          </w:tcPr>
          <w:p w14:paraId="6B5839E0" w14:textId="545705FF"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0.526%</w:t>
            </w:r>
          </w:p>
        </w:tc>
        <w:tc>
          <w:tcPr>
            <w:tcW w:w="1417" w:type="dxa"/>
          </w:tcPr>
          <w:p w14:paraId="4E8CC917" w14:textId="4B4903D9" w:rsidR="0062165C" w:rsidRDefault="0062165C" w:rsidP="008953DA">
            <w:pPr>
              <w:jc w:val="center"/>
              <w:cnfStyle w:val="000000000000" w:firstRow="0" w:lastRow="0" w:firstColumn="0" w:lastColumn="0" w:oddVBand="0" w:evenVBand="0" w:oddHBand="0" w:evenHBand="0" w:firstRowFirstColumn="0" w:firstRowLastColumn="0" w:lastRowFirstColumn="0" w:lastRowLastColumn="0"/>
            </w:pPr>
            <w:r>
              <w:t>0.901%</w:t>
            </w:r>
          </w:p>
        </w:tc>
        <w:tc>
          <w:tcPr>
            <w:tcW w:w="1508" w:type="dxa"/>
          </w:tcPr>
          <w:p w14:paraId="32B13053" w14:textId="576165D7"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0.801%</w:t>
            </w:r>
          </w:p>
        </w:tc>
      </w:tr>
      <w:tr w:rsidR="0062165C" w14:paraId="6E5D0FAA" w14:textId="77777777" w:rsidTr="00621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14:paraId="0918C4A4" w14:textId="7CFE0586" w:rsidR="0062165C" w:rsidRDefault="0062165C" w:rsidP="00FD71A2">
            <w:pPr>
              <w:rPr>
                <w:b w:val="0"/>
                <w:bCs w:val="0"/>
              </w:rPr>
            </w:pPr>
            <w:r>
              <w:rPr>
                <w:b w:val="0"/>
                <w:bCs w:val="0"/>
              </w:rPr>
              <w:t>High Growth</w:t>
            </w:r>
          </w:p>
        </w:tc>
        <w:tc>
          <w:tcPr>
            <w:tcW w:w="1443" w:type="dxa"/>
          </w:tcPr>
          <w:p w14:paraId="163C85B2" w14:textId="0004A155"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0.275%</w:t>
            </w:r>
          </w:p>
        </w:tc>
        <w:tc>
          <w:tcPr>
            <w:tcW w:w="1393" w:type="dxa"/>
          </w:tcPr>
          <w:p w14:paraId="76B4609F" w14:textId="5D67B093" w:rsidR="0062165C" w:rsidRDefault="0062165C" w:rsidP="008953DA">
            <w:pPr>
              <w:jc w:val="center"/>
              <w:cnfStyle w:val="000000100000" w:firstRow="0" w:lastRow="0" w:firstColumn="0" w:lastColumn="0" w:oddVBand="0" w:evenVBand="0" w:oddHBand="1" w:evenHBand="0" w:firstRowFirstColumn="0" w:firstRowLastColumn="0" w:lastRowFirstColumn="0" w:lastRowLastColumn="0"/>
            </w:pPr>
            <w:r>
              <w:t>0.716%</w:t>
            </w:r>
          </w:p>
        </w:tc>
        <w:tc>
          <w:tcPr>
            <w:tcW w:w="1843" w:type="dxa"/>
          </w:tcPr>
          <w:p w14:paraId="2AE1C765" w14:textId="45A21960"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0.600%</w:t>
            </w:r>
          </w:p>
        </w:tc>
        <w:tc>
          <w:tcPr>
            <w:tcW w:w="1417" w:type="dxa"/>
          </w:tcPr>
          <w:p w14:paraId="70D4AA36" w14:textId="2B9A9118" w:rsidR="0062165C" w:rsidRDefault="0062165C" w:rsidP="008953DA">
            <w:pPr>
              <w:jc w:val="center"/>
              <w:cnfStyle w:val="000000100000" w:firstRow="0" w:lastRow="0" w:firstColumn="0" w:lastColumn="0" w:oddVBand="0" w:evenVBand="0" w:oddHBand="1" w:evenHBand="0" w:firstRowFirstColumn="0" w:firstRowLastColumn="0" w:lastRowFirstColumn="0" w:lastRowLastColumn="0"/>
            </w:pPr>
            <w:r>
              <w:t>0.991%</w:t>
            </w:r>
          </w:p>
        </w:tc>
        <w:tc>
          <w:tcPr>
            <w:tcW w:w="1508" w:type="dxa"/>
          </w:tcPr>
          <w:p w14:paraId="32AB3D57" w14:textId="0A0B5BFD" w:rsidR="0062165C" w:rsidRPr="0062165C" w:rsidRDefault="0062165C" w:rsidP="008953DA">
            <w:pPr>
              <w:jc w:val="center"/>
              <w:cnfStyle w:val="000000100000" w:firstRow="0" w:lastRow="0" w:firstColumn="0" w:lastColumn="0" w:oddVBand="0" w:evenVBand="0" w:oddHBand="1" w:evenHBand="0" w:firstRowFirstColumn="0" w:firstRowLastColumn="0" w:lastRowFirstColumn="0" w:lastRowLastColumn="0"/>
              <w:rPr>
                <w:b/>
                <w:bCs/>
              </w:rPr>
            </w:pPr>
            <w:r w:rsidRPr="0062165C">
              <w:rPr>
                <w:b/>
                <w:bCs/>
              </w:rPr>
              <w:t>0.875%</w:t>
            </w:r>
          </w:p>
        </w:tc>
      </w:tr>
      <w:tr w:rsidR="0062165C" w14:paraId="34F45A22" w14:textId="77777777" w:rsidTr="0062165C">
        <w:tc>
          <w:tcPr>
            <w:cnfStyle w:val="001000000000" w:firstRow="0" w:lastRow="0" w:firstColumn="1" w:lastColumn="0" w:oddVBand="0" w:evenVBand="0" w:oddHBand="0" w:evenHBand="0" w:firstRowFirstColumn="0" w:firstRowLastColumn="0" w:lastRowFirstColumn="0" w:lastRowLastColumn="0"/>
            <w:tcW w:w="1412" w:type="dxa"/>
          </w:tcPr>
          <w:p w14:paraId="760C3804" w14:textId="2C28A14D" w:rsidR="0062165C" w:rsidRDefault="0062165C" w:rsidP="00FD71A2">
            <w:pPr>
              <w:rPr>
                <w:b w:val="0"/>
                <w:bCs w:val="0"/>
              </w:rPr>
            </w:pPr>
            <w:r>
              <w:rPr>
                <w:b w:val="0"/>
                <w:bCs w:val="0"/>
              </w:rPr>
              <w:t>All Growth</w:t>
            </w:r>
          </w:p>
        </w:tc>
        <w:tc>
          <w:tcPr>
            <w:tcW w:w="1443" w:type="dxa"/>
          </w:tcPr>
          <w:p w14:paraId="4DCDF9D2" w14:textId="4CADFA9E"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0.275%</w:t>
            </w:r>
          </w:p>
        </w:tc>
        <w:tc>
          <w:tcPr>
            <w:tcW w:w="1393" w:type="dxa"/>
          </w:tcPr>
          <w:p w14:paraId="6D0220DF" w14:textId="44C075DF" w:rsidR="0062165C" w:rsidRDefault="0062165C" w:rsidP="008953DA">
            <w:pPr>
              <w:jc w:val="center"/>
              <w:cnfStyle w:val="000000000000" w:firstRow="0" w:lastRow="0" w:firstColumn="0" w:lastColumn="0" w:oddVBand="0" w:evenVBand="0" w:oddHBand="0" w:evenHBand="0" w:firstRowFirstColumn="0" w:firstRowLastColumn="0" w:lastRowFirstColumn="0" w:lastRowLastColumn="0"/>
            </w:pPr>
            <w:r>
              <w:t>0.757%</w:t>
            </w:r>
          </w:p>
        </w:tc>
        <w:tc>
          <w:tcPr>
            <w:tcW w:w="1843" w:type="dxa"/>
          </w:tcPr>
          <w:p w14:paraId="71F5DD9B" w14:textId="00EBB16C"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0.635%</w:t>
            </w:r>
          </w:p>
        </w:tc>
        <w:tc>
          <w:tcPr>
            <w:tcW w:w="1417" w:type="dxa"/>
          </w:tcPr>
          <w:p w14:paraId="7EF7FED9" w14:textId="3E3CD179" w:rsidR="0062165C" w:rsidRDefault="0062165C" w:rsidP="008953DA">
            <w:pPr>
              <w:jc w:val="center"/>
              <w:cnfStyle w:val="000000000000" w:firstRow="0" w:lastRow="0" w:firstColumn="0" w:lastColumn="0" w:oddVBand="0" w:evenVBand="0" w:oddHBand="0" w:evenHBand="0" w:firstRowFirstColumn="0" w:firstRowLastColumn="0" w:lastRowFirstColumn="0" w:lastRowLastColumn="0"/>
            </w:pPr>
            <w:r>
              <w:t>1.032%</w:t>
            </w:r>
          </w:p>
        </w:tc>
        <w:tc>
          <w:tcPr>
            <w:tcW w:w="1508" w:type="dxa"/>
          </w:tcPr>
          <w:p w14:paraId="004367DE" w14:textId="2992C764" w:rsidR="0062165C" w:rsidRPr="0062165C" w:rsidRDefault="0062165C" w:rsidP="008953DA">
            <w:pPr>
              <w:jc w:val="center"/>
              <w:cnfStyle w:val="000000000000" w:firstRow="0" w:lastRow="0" w:firstColumn="0" w:lastColumn="0" w:oddVBand="0" w:evenVBand="0" w:oddHBand="0" w:evenHBand="0" w:firstRowFirstColumn="0" w:firstRowLastColumn="0" w:lastRowFirstColumn="0" w:lastRowLastColumn="0"/>
              <w:rPr>
                <w:b/>
                <w:bCs/>
              </w:rPr>
            </w:pPr>
            <w:r w:rsidRPr="0062165C">
              <w:rPr>
                <w:b/>
                <w:bCs/>
              </w:rPr>
              <w:t>0.910%</w:t>
            </w:r>
          </w:p>
        </w:tc>
      </w:tr>
    </w:tbl>
    <w:p w14:paraId="3EE54523" w14:textId="22A89A20" w:rsidR="00FD71A2" w:rsidRDefault="00FD71A2" w:rsidP="00FD71A2"/>
    <w:p w14:paraId="1434BDB3" w14:textId="6D2C04E3" w:rsidR="00C12100" w:rsidRDefault="00C12100" w:rsidP="00FD71A2">
      <w:r>
        <w:t>Notes:</w:t>
      </w:r>
    </w:p>
    <w:p w14:paraId="0056D877" w14:textId="56FC70DE" w:rsidR="00C12100" w:rsidRDefault="00C12100" w:rsidP="00C12100">
      <w:pPr>
        <w:pStyle w:val="ListParagraph"/>
        <w:numPr>
          <w:ilvl w:val="0"/>
          <w:numId w:val="9"/>
        </w:numPr>
      </w:pPr>
      <w:r>
        <w:t>Fee</w:t>
      </w:r>
      <w:r w:rsidR="000706DA">
        <w:t>s</w:t>
      </w:r>
      <w:r>
        <w:t xml:space="preserve"> includes GST but not Recipient Input Tax Credits (RITC). Depending on the administration platform used to access these portfolios, RITC will be credited to the investor account up to the value of 75% of the GST payable. See the Platform PDS for more information.</w:t>
      </w:r>
    </w:p>
    <w:p w14:paraId="7B76176E" w14:textId="406E175A" w:rsidR="00C12100" w:rsidRDefault="00ED748D" w:rsidP="00C12100">
      <w:pPr>
        <w:pStyle w:val="ListParagraph"/>
        <w:numPr>
          <w:ilvl w:val="0"/>
          <w:numId w:val="9"/>
        </w:numPr>
      </w:pPr>
      <w:r>
        <w:t>The above are a</w:t>
      </w:r>
      <w:r w:rsidR="003A57C0">
        <w:t>pproximate fee</w:t>
      </w:r>
      <w:r>
        <w:t>s</w:t>
      </w:r>
      <w:r w:rsidR="003A57C0">
        <w:t xml:space="preserve"> including GST but not Recipient Input Tax Credits (RITC). Depending on the administration platform used to access these portfolios, RITC will be credited to the investor account up to the value of 75% of the GST payable. See the Platform PDS for more information.</w:t>
      </w:r>
    </w:p>
    <w:p w14:paraId="0B03170B" w14:textId="77777777" w:rsidR="003A57C0" w:rsidRDefault="003A57C0" w:rsidP="000706DA">
      <w:pPr>
        <w:ind w:left="360"/>
      </w:pPr>
    </w:p>
    <w:p w14:paraId="392D748C" w14:textId="77777777" w:rsidR="00660F1E" w:rsidRPr="00FD71A2" w:rsidRDefault="00660F1E" w:rsidP="00FD71A2"/>
    <w:p w14:paraId="5EBA0D99" w14:textId="77777777" w:rsidR="00660F1E" w:rsidRDefault="00660F1E">
      <w:pPr>
        <w:rPr>
          <w:rFonts w:asciiTheme="majorHAnsi" w:eastAsiaTheme="majorEastAsia" w:hAnsiTheme="majorHAnsi" w:cstheme="majorBidi"/>
          <w:color w:val="2F5496" w:themeColor="accent1" w:themeShade="BF"/>
          <w:sz w:val="32"/>
          <w:szCs w:val="32"/>
        </w:rPr>
      </w:pPr>
      <w:r>
        <w:br w:type="page"/>
      </w:r>
    </w:p>
    <w:p w14:paraId="3BCC2AFD" w14:textId="64B73510" w:rsidR="00BC3FB4" w:rsidRDefault="00BC3FB4" w:rsidP="00BC3FB4">
      <w:pPr>
        <w:pStyle w:val="Heading1"/>
      </w:pPr>
      <w:bookmarkStart w:id="30" w:name="_Toc130885789"/>
      <w:r>
        <w:lastRenderedPageBreak/>
        <w:t>Fund Manager Commentary</w:t>
      </w:r>
      <w:r w:rsidR="00A857B7">
        <w:t xml:space="preserve"> from Morningstar Australasia</w:t>
      </w:r>
      <w:r w:rsidR="00C44D3C">
        <w:t xml:space="preserve"> Fund Research</w:t>
      </w:r>
      <w:bookmarkEnd w:id="30"/>
    </w:p>
    <w:p w14:paraId="31D27CB5" w14:textId="77777777" w:rsidR="00BC3FB4" w:rsidRPr="00BC3FB4" w:rsidRDefault="00BC3FB4" w:rsidP="00BC3FB4">
      <w:pPr>
        <w:pStyle w:val="Heading2"/>
      </w:pPr>
      <w:bookmarkStart w:id="31" w:name="_Toc130885790"/>
      <w:r w:rsidRPr="00BC3FB4">
        <w:t>Australian Equity</w:t>
      </w:r>
      <w:bookmarkEnd w:id="31"/>
    </w:p>
    <w:p w14:paraId="7306ED8A" w14:textId="405BD0DF" w:rsidR="00BC3FB4" w:rsidRPr="00BC3FB4" w:rsidRDefault="00BC3FB4" w:rsidP="00BC3FB4">
      <w:pPr>
        <w:numPr>
          <w:ilvl w:val="0"/>
          <w:numId w:val="4"/>
        </w:numPr>
      </w:pPr>
      <w:r w:rsidRPr="00BC3FB4">
        <w:t>Fidelity Australian Equities (</w:t>
      </w:r>
      <w:r w:rsidRPr="00BC3FB4">
        <w:rPr>
          <w:b/>
          <w:bCs/>
        </w:rPr>
        <w:t>Morningstar Rated Gold</w:t>
      </w:r>
      <w:r w:rsidRPr="00BC3FB4">
        <w:t xml:space="preserve">) earns </w:t>
      </w:r>
      <w:r w:rsidR="00C44D3C">
        <w:t>the</w:t>
      </w:r>
      <w:r w:rsidR="00C44D3C" w:rsidRPr="00BC3FB4">
        <w:t xml:space="preserve"> </w:t>
      </w:r>
      <w:r w:rsidRPr="00BC3FB4">
        <w:t>highest rating, with a skilled and passionate fund manager overseeing a quality-focused time-tested investment process. Paul Taylor has a dual role now as the head of investments at Fidelity Australia since January 2022 as well as the portfolio manager on his strategy uninterrupted since 2003. Alongside an adept analyst team, Taylor’s familiarity with the local market is as good as any in the industry and gives him a significant edge when he builds his typically, growth tilted, portfolio.</w:t>
      </w:r>
    </w:p>
    <w:p w14:paraId="6BD3B367" w14:textId="77777777" w:rsidR="00BC3FB4" w:rsidRPr="00BC3FB4" w:rsidRDefault="00BC3FB4" w:rsidP="00BC3FB4">
      <w:pPr>
        <w:numPr>
          <w:ilvl w:val="0"/>
          <w:numId w:val="4"/>
        </w:numPr>
      </w:pPr>
      <w:r w:rsidRPr="00BC3FB4">
        <w:t>Schroder Australian Equity (</w:t>
      </w:r>
      <w:r w:rsidRPr="00BC3FB4">
        <w:rPr>
          <w:b/>
          <w:bCs/>
        </w:rPr>
        <w:t>Morningstar Rated Gold</w:t>
      </w:r>
      <w:r w:rsidRPr="00BC3FB4">
        <w:t>) Fund deserves high conviction as its skilled and stable team continues to apply its methodical and detailed process unwaveringly when appraising a company’s pricing power, long term reliability and mid-cycle earnings; attributes that often lead to a value tilted portfolio. Head of Australian equities Martin Conlon has managed this fund since 2003 after joining Schroders in 1994; deputy head of equities Andrew Fleming has been with Schroders since 2007 and has 30 years of investing experience. Conlon and Fleming, together with a large and experienced analyst group, are especially thoughtful in researching companies and understanding the economic backdrop when building the portfolio. </w:t>
      </w:r>
    </w:p>
    <w:p w14:paraId="33966264" w14:textId="77777777" w:rsidR="00BC3FB4" w:rsidRPr="00BC3FB4" w:rsidRDefault="00BC3FB4" w:rsidP="00BC3FB4">
      <w:pPr>
        <w:numPr>
          <w:ilvl w:val="0"/>
          <w:numId w:val="4"/>
        </w:numPr>
      </w:pPr>
      <w:r w:rsidRPr="00BC3FB4">
        <w:t>Platypus Australian Equities(</w:t>
      </w:r>
      <w:r w:rsidRPr="00BC3FB4">
        <w:rPr>
          <w:b/>
          <w:bCs/>
        </w:rPr>
        <w:t>Morningstar Rated Bronze</w:t>
      </w:r>
      <w:r w:rsidRPr="00BC3FB4">
        <w:t xml:space="preserve">) presents long-term investors with an attractive growth-focused proposition led by a skilled portfolio manager and established investment team. Prasad Patkar joined Platypus in 2008 and has been the portfolio manager and key decision-maker on this strategy since 2016. Patkar adopts a disciplined approach to stock selection and portfolio construction, making highly perceptive investment decisions. The qualitative investment team, which includes deputy portfolio manager Jelena </w:t>
      </w:r>
      <w:proofErr w:type="spellStart"/>
      <w:r w:rsidRPr="00BC3FB4">
        <w:t>Stevanovic</w:t>
      </w:r>
      <w:proofErr w:type="spellEnd"/>
      <w:r w:rsidRPr="00BC3FB4">
        <w:t xml:space="preserve"> and three analysts, has already established a solid reputation for its careful investing approach to finding long term growth companies. </w:t>
      </w:r>
    </w:p>
    <w:p w14:paraId="39EB441B" w14:textId="2BA9B3E7" w:rsidR="00BC3FB4" w:rsidRPr="00BC3FB4" w:rsidRDefault="00BC3FB4" w:rsidP="00D008AE">
      <w:pPr>
        <w:numPr>
          <w:ilvl w:val="0"/>
          <w:numId w:val="4"/>
        </w:numPr>
      </w:pPr>
      <w:r w:rsidRPr="00BC3FB4">
        <w:t>DNR Capital Australian Emerging Companies’ </w:t>
      </w:r>
      <w:r w:rsidRPr="00BC3FB4">
        <w:rPr>
          <w:b/>
          <w:bCs/>
        </w:rPr>
        <w:t>(Morningstar Rated Silver)</w:t>
      </w:r>
      <w:r w:rsidRPr="00BC3FB4">
        <w:t xml:space="preserve"> leading duo and versatile, distinctive approach make this offering stand out. The strategy is comanaged by Sam </w:t>
      </w:r>
      <w:proofErr w:type="spellStart"/>
      <w:r w:rsidRPr="00BC3FB4">
        <w:t>Twidale</w:t>
      </w:r>
      <w:proofErr w:type="spellEnd"/>
      <w:r w:rsidRPr="00BC3FB4">
        <w:t xml:space="preserve"> and Mark </w:t>
      </w:r>
      <w:proofErr w:type="spellStart"/>
      <w:r w:rsidRPr="00BC3FB4">
        <w:t>Sedawie</w:t>
      </w:r>
      <w:proofErr w:type="spellEnd"/>
      <w:r w:rsidRPr="00BC3FB4">
        <w:t xml:space="preserve">. </w:t>
      </w:r>
      <w:proofErr w:type="spellStart"/>
      <w:r w:rsidRPr="00BC3FB4">
        <w:t>Twidale</w:t>
      </w:r>
      <w:proofErr w:type="spellEnd"/>
      <w:r w:rsidRPr="00BC3FB4">
        <w:t xml:space="preserve">, previously a portfolio manager at Schroders, has excellent experience through several market cycles, while </w:t>
      </w:r>
      <w:proofErr w:type="spellStart"/>
      <w:r w:rsidRPr="00BC3FB4">
        <w:t>Sedawie</w:t>
      </w:r>
      <w:proofErr w:type="spellEnd"/>
      <w:r w:rsidRPr="00BC3FB4">
        <w:t xml:space="preserve"> has been with DNR since 2008, moving through the analyst ranks during that time. High conviction positions are common in this portfolio and the managers are not afraid to move the portfolio around to where they see the best opportunities. As such the investment style of the portfolio is flexible. </w:t>
      </w:r>
    </w:p>
    <w:p w14:paraId="58EE4A14" w14:textId="6042856D" w:rsidR="00BC3FB4" w:rsidRPr="00BC3FB4" w:rsidRDefault="00BC3FB4" w:rsidP="00BC3FB4">
      <w:pPr>
        <w:pStyle w:val="Heading2"/>
      </w:pPr>
      <w:bookmarkStart w:id="32" w:name="_Toc130885791"/>
      <w:r w:rsidRPr="00BC3FB4">
        <w:t>Global Equity</w:t>
      </w:r>
      <w:bookmarkEnd w:id="32"/>
      <w:r w:rsidRPr="00BC3FB4">
        <w:t> </w:t>
      </w:r>
    </w:p>
    <w:p w14:paraId="489CD0D5" w14:textId="77777777" w:rsidR="00BC3FB4" w:rsidRPr="00BC3FB4" w:rsidRDefault="00BC3FB4" w:rsidP="00BC3FB4">
      <w:pPr>
        <w:numPr>
          <w:ilvl w:val="0"/>
          <w:numId w:val="5"/>
        </w:numPr>
      </w:pPr>
      <w:r w:rsidRPr="00BC3FB4">
        <w:t xml:space="preserve">A simple, </w:t>
      </w:r>
      <w:proofErr w:type="spellStart"/>
      <w:r w:rsidRPr="00BC3FB4">
        <w:t>commonsense</w:t>
      </w:r>
      <w:proofErr w:type="spellEnd"/>
      <w:r w:rsidRPr="00BC3FB4">
        <w:t xml:space="preserve"> approach enacted by esteemed portfolio managers keeps MFS Global Equity </w:t>
      </w:r>
      <w:r w:rsidRPr="00BC3FB4">
        <w:rPr>
          <w:b/>
          <w:bCs/>
        </w:rPr>
        <w:t>(Morningstar Rated Gold)</w:t>
      </w:r>
      <w:r w:rsidRPr="00BC3FB4">
        <w:t xml:space="preserve">  at the forefront of the pack. Comanagers Roger Morley and Ryan McAllister uphold a longstanding tradition of investing in companies with a sustainable growth outlook courtesy of a substantive competitive advantage. The methodical approach is straightforward, </w:t>
      </w:r>
      <w:proofErr w:type="gramStart"/>
      <w:r w:rsidRPr="00BC3FB4">
        <w:t>disciplined</w:t>
      </w:r>
      <w:proofErr w:type="gramEnd"/>
      <w:r w:rsidRPr="00BC3FB4">
        <w:t xml:space="preserve"> and willing to ignore index weights, as seen in its long-standing sector skews – an attractive trait given the size and quality of the analyst platform at MFS.</w:t>
      </w:r>
    </w:p>
    <w:p w14:paraId="430466FA" w14:textId="77777777" w:rsidR="00BC3FB4" w:rsidRPr="00BC3FB4" w:rsidRDefault="00BC3FB4" w:rsidP="00BC3FB4">
      <w:pPr>
        <w:numPr>
          <w:ilvl w:val="0"/>
          <w:numId w:val="5"/>
        </w:numPr>
      </w:pPr>
      <w:r w:rsidRPr="00BC3FB4">
        <w:lastRenderedPageBreak/>
        <w:t>Capital New Perspective’s </w:t>
      </w:r>
      <w:r w:rsidRPr="00BC3FB4">
        <w:rPr>
          <w:b/>
          <w:bCs/>
        </w:rPr>
        <w:t>(Morningstar Rated Gold)</w:t>
      </w:r>
      <w:r w:rsidRPr="00BC3FB4">
        <w:t>  veteran leadership and time-tested approach targeting firms benefiting from global trade earns our highest conviction. The strategy’s proven multimanager approach sets it up for long-term success. Two principal officers help ensure the fund’s sleeves meld together into a diversified global portfolio. The managers run their sleeves of the overall portfolio as they see fit but must stick to companies that receive at least 25% of their revenues from outside their home region. The result is a highly diversified portfolio with a growth bias that fits well with the other global equity managers.</w:t>
      </w:r>
    </w:p>
    <w:p w14:paraId="1AEF585E" w14:textId="77777777" w:rsidR="00BC3FB4" w:rsidRPr="00BC3FB4" w:rsidRDefault="00BC3FB4" w:rsidP="00BC3FB4">
      <w:pPr>
        <w:numPr>
          <w:ilvl w:val="0"/>
          <w:numId w:val="5"/>
        </w:numPr>
      </w:pPr>
      <w:r w:rsidRPr="00BC3FB4">
        <w:t>GQG Partners Global Equity </w:t>
      </w:r>
      <w:r w:rsidRPr="00BC3FB4">
        <w:rPr>
          <w:b/>
          <w:bCs/>
        </w:rPr>
        <w:t>(Morningstar Rated Silver)</w:t>
      </w:r>
      <w:r w:rsidRPr="00BC3FB4">
        <w:t xml:space="preserve">  logical approach and its manager’s ability to successfully navigate the territory is impressive. Lead portfolio manager Rajiv Jain founded GQG Partners in 2016 after running a similar strategy at Swiss-bank </w:t>
      </w:r>
      <w:proofErr w:type="spellStart"/>
      <w:r w:rsidRPr="00BC3FB4">
        <w:t>Vontobel</w:t>
      </w:r>
      <w:proofErr w:type="spellEnd"/>
      <w:r w:rsidRPr="00BC3FB4">
        <w:t xml:space="preserve"> for 14 years. Jain describes his approach as "quality-growth," seeking companies with a strong market position, a record of prudent capital allocation, and a history of weathering tough economic conditions. A standout feature to move the portfolio where highest returns are viewed reflects the investments team’s skill and conviction.</w:t>
      </w:r>
    </w:p>
    <w:p w14:paraId="6B1DD5ED" w14:textId="77777777" w:rsidR="00BC3FB4" w:rsidRPr="00BC3FB4" w:rsidRDefault="00BC3FB4" w:rsidP="00BC3FB4">
      <w:pPr>
        <w:numPr>
          <w:ilvl w:val="0"/>
          <w:numId w:val="5"/>
        </w:numPr>
      </w:pPr>
      <w:r w:rsidRPr="00BC3FB4">
        <w:t>Barrow Hanley Global Equity Trust </w:t>
      </w:r>
      <w:r w:rsidRPr="00BC3FB4">
        <w:rPr>
          <w:b/>
          <w:bCs/>
        </w:rPr>
        <w:t>(Morningstar Rated Gold)</w:t>
      </w:r>
      <w:r w:rsidRPr="00BC3FB4">
        <w:t xml:space="preserve">  is top shelf in delivering value-focused global equities thanks to its talented portfolio management team with a strong analyst bench, who have consistently executed a best-in-class pragmatic investment process. Additionally, the institutional share class offers a very compelling management </w:t>
      </w:r>
      <w:proofErr w:type="gramStart"/>
      <w:r w:rsidRPr="00BC3FB4">
        <w:t>fee</w:t>
      </w:r>
      <w:proofErr w:type="gramEnd"/>
      <w:r w:rsidRPr="00BC3FB4">
        <w:t xml:space="preserve"> and the fund fits very well in global equity exposure.</w:t>
      </w:r>
    </w:p>
    <w:p w14:paraId="72A4E5BF" w14:textId="1D68D60D" w:rsidR="00BC3FB4" w:rsidRPr="00BC3FB4" w:rsidRDefault="00BC3FB4" w:rsidP="00BC3FB4">
      <w:pPr>
        <w:numPr>
          <w:ilvl w:val="0"/>
          <w:numId w:val="5"/>
        </w:numPr>
      </w:pPr>
      <w:r w:rsidRPr="00BC3FB4">
        <w:t>Vanguard FTSE Emerging Markets Shares ETF VGE </w:t>
      </w:r>
      <w:r w:rsidRPr="00BC3FB4">
        <w:rPr>
          <w:b/>
          <w:bCs/>
        </w:rPr>
        <w:t>(Morningstar Rated Bronze)</w:t>
      </w:r>
      <w:r w:rsidRPr="00BC3FB4">
        <w:t xml:space="preserve"> is a sound choice for diversified, cost-effective exposure to emerging market equities. Emerging markets are perceived to offer outsized growth opportunities and higher expected returns relative to the developed markets, plus additional diversification. Vanguard mirrors the risk/return profile FTSE Emerging Markets All Cap China </w:t>
      </w:r>
      <w:proofErr w:type="gramStart"/>
      <w:r w:rsidRPr="00BC3FB4">
        <w:t>A</w:t>
      </w:r>
      <w:proofErr w:type="gramEnd"/>
      <w:r w:rsidRPr="00BC3FB4">
        <w:t xml:space="preserve"> Inclusion Index, a broad portfolio spread across 24 emerging-markets economies.</w:t>
      </w:r>
    </w:p>
    <w:p w14:paraId="41B2CA9F" w14:textId="28677C70" w:rsidR="00BC3FB4" w:rsidRPr="00BC3FB4" w:rsidRDefault="00BC3FB4" w:rsidP="00BC3FB4">
      <w:pPr>
        <w:pStyle w:val="Heading2"/>
      </w:pPr>
      <w:r w:rsidRPr="00BC3FB4">
        <w:t> </w:t>
      </w:r>
      <w:bookmarkStart w:id="33" w:name="_Toc130885792"/>
      <w:r w:rsidRPr="00BC3FB4">
        <w:t>Australian Fixed Interest</w:t>
      </w:r>
      <w:bookmarkEnd w:id="33"/>
    </w:p>
    <w:p w14:paraId="03140916" w14:textId="77777777" w:rsidR="00BC3FB4" w:rsidRPr="00BC3FB4" w:rsidRDefault="00BC3FB4" w:rsidP="00BC3FB4">
      <w:pPr>
        <w:numPr>
          <w:ilvl w:val="0"/>
          <w:numId w:val="6"/>
        </w:numPr>
      </w:pPr>
      <w:r w:rsidRPr="00BC3FB4">
        <w:t>The Vanguard Australian Fixed Income ETF </w:t>
      </w:r>
      <w:r w:rsidRPr="00BC3FB4">
        <w:rPr>
          <w:b/>
          <w:bCs/>
        </w:rPr>
        <w:t>(Morningstar Rated Gold)</w:t>
      </w:r>
      <w:r w:rsidRPr="00BC3FB4">
        <w:t>  is an excellent choice for diversified Australian bond exposure at a very competitive price. The Australian fixed income market is narrow and historically, a passive approach has been sensible in the Australian bonds sector as many active strategies tend to take modest bets against the index, leading to low levels of return dispersion.</w:t>
      </w:r>
    </w:p>
    <w:p w14:paraId="32AD43DF" w14:textId="77777777" w:rsidR="00BC3FB4" w:rsidRPr="00BC3FB4" w:rsidRDefault="00BC3FB4" w:rsidP="00BC3FB4">
      <w:pPr>
        <w:numPr>
          <w:ilvl w:val="0"/>
          <w:numId w:val="6"/>
        </w:numPr>
      </w:pPr>
      <w:r w:rsidRPr="00BC3FB4">
        <w:t>Janus Henderson Tactical Income’s </w:t>
      </w:r>
      <w:r w:rsidRPr="00BC3FB4">
        <w:rPr>
          <w:b/>
          <w:bCs/>
        </w:rPr>
        <w:t>(Morningstar Rated Silver)</w:t>
      </w:r>
      <w:r w:rsidRPr="00BC3FB4">
        <w:t xml:space="preserve">  experienced investment team and flexible approach continue to guide this strategy though an era of change. Jay Sivapalan forges on as the head of Australian fixed interest utilizing his 23 years of market experience to guide the investment team and shape a portfolio that typically has duration much lower than that of this category’s primary index. The strategy offers more flexibility and less interest-rate risk relative to a typical Australian bond offering, courtesy of its split index (50/50 </w:t>
      </w:r>
      <w:proofErr w:type="spellStart"/>
      <w:r w:rsidRPr="00BC3FB4">
        <w:t>AusBond</w:t>
      </w:r>
      <w:proofErr w:type="spellEnd"/>
      <w:r w:rsidRPr="00BC3FB4">
        <w:t xml:space="preserve"> Bank Bills and </w:t>
      </w:r>
      <w:proofErr w:type="spellStart"/>
      <w:r w:rsidRPr="00BC3FB4">
        <w:t>AusBond</w:t>
      </w:r>
      <w:proofErr w:type="spellEnd"/>
      <w:r w:rsidRPr="00BC3FB4">
        <w:t xml:space="preserve"> Composite indexes). The primary exposures will typically be Australian government and government-related bonds, credit and securitised instruments, though emerging markets, loans, and high yield can pop up. The portfolio can also invest in hybrids opportunistically.</w:t>
      </w:r>
    </w:p>
    <w:p w14:paraId="06C0AEF9" w14:textId="7A3087A3" w:rsidR="00BC3FB4" w:rsidRPr="00BC3FB4" w:rsidRDefault="00BC3FB4" w:rsidP="00BC3FB4">
      <w:pPr>
        <w:pStyle w:val="Heading2"/>
      </w:pPr>
      <w:r w:rsidRPr="00BC3FB4">
        <w:lastRenderedPageBreak/>
        <w:t> </w:t>
      </w:r>
      <w:bookmarkStart w:id="34" w:name="_Toc130885793"/>
      <w:r w:rsidRPr="00BC3FB4">
        <w:t>International Fixed Interest</w:t>
      </w:r>
      <w:bookmarkEnd w:id="34"/>
    </w:p>
    <w:p w14:paraId="2905489F" w14:textId="77777777" w:rsidR="00BC3FB4" w:rsidRPr="00BC3FB4" w:rsidRDefault="00BC3FB4" w:rsidP="00BC3FB4">
      <w:pPr>
        <w:numPr>
          <w:ilvl w:val="0"/>
          <w:numId w:val="7"/>
        </w:numPr>
      </w:pPr>
      <w:r w:rsidRPr="00BC3FB4">
        <w:t>iShares Global Bond Index </w:t>
      </w:r>
      <w:r w:rsidRPr="00BC3FB4">
        <w:rPr>
          <w:b/>
          <w:bCs/>
        </w:rPr>
        <w:t>(Morningstar Rated Bronze)</w:t>
      </w:r>
      <w:r w:rsidRPr="00BC3FB4">
        <w:t> is a solid low-cost passive offering for Australian investors in the global fixed-interest segment. The strategy benefits from BlackRock's legacy of indexing expertise and the integration of sophisticated systems for seamless execution. The fund tracks the Bloomberg Global Aggregate Bond Index (AUD Hedged) Index, a well-diversified global government- and corporate-bond benchmark, replicating the index's duration, yield, and average credit quality. </w:t>
      </w:r>
    </w:p>
    <w:p w14:paraId="4ABFBE26" w14:textId="77777777" w:rsidR="00BC3FB4" w:rsidRPr="00BC3FB4" w:rsidRDefault="00BC3FB4" w:rsidP="00BC3FB4">
      <w:pPr>
        <w:numPr>
          <w:ilvl w:val="0"/>
          <w:numId w:val="7"/>
        </w:numPr>
      </w:pPr>
      <w:r w:rsidRPr="00BC3FB4">
        <w:t>Bentham </w:t>
      </w:r>
      <w:r w:rsidRPr="00BC3FB4">
        <w:rPr>
          <w:b/>
          <w:bCs/>
        </w:rPr>
        <w:t>(Morningstar Rated Silver)</w:t>
      </w:r>
      <w:r w:rsidRPr="00BC3FB4">
        <w:t xml:space="preserve"> is a long-standing boutique fixed-interest manager that continues to show strong willingness to use its broad investment toolkit to deliver a higher level of cash plus returns over the long term. Bentham is strongly led by managing director and portfolio manager Richard Quin, alongside founding partners Nik </w:t>
      </w:r>
      <w:proofErr w:type="spellStart"/>
      <w:r w:rsidRPr="00BC3FB4">
        <w:t>Persic</w:t>
      </w:r>
      <w:proofErr w:type="spellEnd"/>
      <w:r w:rsidRPr="00BC3FB4">
        <w:t xml:space="preserve"> and Mark Fabry. While the investment team is relatively small locally an arrangement with the Credit Suisse Credit Investments Group brings institutional-grade analysis for its largest allocations in high yield and loans. The experience and research quality here are very impressive.</w:t>
      </w:r>
    </w:p>
    <w:p w14:paraId="32F47D03" w14:textId="32D07040" w:rsidR="00BC3FB4" w:rsidRPr="00BC3FB4" w:rsidRDefault="00BC3FB4" w:rsidP="00BC3FB4">
      <w:pPr>
        <w:pStyle w:val="Heading2"/>
      </w:pPr>
      <w:r w:rsidRPr="00BC3FB4">
        <w:t> </w:t>
      </w:r>
      <w:bookmarkStart w:id="35" w:name="_Toc130885794"/>
      <w:r w:rsidRPr="00BC3FB4">
        <w:t>Real Assets</w:t>
      </w:r>
      <w:bookmarkEnd w:id="35"/>
    </w:p>
    <w:p w14:paraId="686CA824" w14:textId="77777777" w:rsidR="00BC3FB4" w:rsidRPr="00BC3FB4" w:rsidRDefault="00BC3FB4" w:rsidP="00BC3FB4">
      <w:pPr>
        <w:numPr>
          <w:ilvl w:val="0"/>
          <w:numId w:val="8"/>
        </w:numPr>
      </w:pPr>
      <w:r w:rsidRPr="00BC3FB4">
        <w:t>MFG Core Infrastructure </w:t>
      </w:r>
      <w:r w:rsidRPr="00BC3FB4">
        <w:rPr>
          <w:b/>
          <w:bCs/>
        </w:rPr>
        <w:t>(Morningstar Rated Silver)</w:t>
      </w:r>
      <w:r w:rsidRPr="00BC3FB4">
        <w:t> offers investors access to the defensive qualities of Magellan’s stringent investment universe at an invitingly low cost. Portfolio manager David Costello helms this strategy under the guidance and support of head of infrastructure Gerald Stack and the well-regarded Magellan infrastructure team of eight. This strategy leverages Magellan’s proprietary infrastructure universe as the bedrock of the process. To be considered for inclusion, a company must possess an asset that is essential for the efficient functioning of society and have earnings that aren’t overly affected by competition, commodity prices, or sovereign risks. The final 70-100 stock portfolio is constructed systematically with weightings based on market-capitalisation, and subsequently rebalanced monthly. Together with an appealing fee, this strategy fits very nicely in the portfolio.</w:t>
      </w:r>
    </w:p>
    <w:p w14:paraId="2B7B54EE" w14:textId="1D36F3B5" w:rsidR="00BC3FB4" w:rsidRPr="00BC3FB4" w:rsidRDefault="00BC3FB4" w:rsidP="00BC3FB4">
      <w:pPr>
        <w:numPr>
          <w:ilvl w:val="0"/>
          <w:numId w:val="8"/>
        </w:numPr>
      </w:pPr>
      <w:r w:rsidRPr="00BC3FB4">
        <w:t>iShares Global Listed Property </w:t>
      </w:r>
      <w:r w:rsidRPr="00BC3FB4">
        <w:rPr>
          <w:b/>
          <w:bCs/>
        </w:rPr>
        <w:t>(Morningstar Rated Bronze)</w:t>
      </w:r>
      <w:r w:rsidRPr="00BC3FB4">
        <w:t xml:space="preserve"> establishes itself as a solid, cost-efficient strategy for investors seeking global listed property exposure. With a diversified portfolio of around 380 companies across the rental and nonrental property businesses, the strategy spans a wider universe compared with competing passive products. The fund aims to track the performance of the FTSE EPRA/NAREIT Developed Index (AUD Hedged) and so it’s well-diversified across several property subsectors. </w:t>
      </w:r>
      <w:proofErr w:type="spellStart"/>
      <w:r w:rsidRPr="00BC3FB4">
        <w:t>His</w:t>
      </w:r>
      <w:r w:rsidR="00463E63">
        <w:t>F</w:t>
      </w:r>
      <w:r w:rsidRPr="00BC3FB4">
        <w:t>torically</w:t>
      </w:r>
      <w:proofErr w:type="spellEnd"/>
      <w:r w:rsidRPr="00BC3FB4">
        <w:t>, passive funds have performed in this category well versus many active peers. Additionally, this strategy’s lower fee boosted the degree of outperformance over the average active funds in the category.</w:t>
      </w:r>
    </w:p>
    <w:p w14:paraId="3575FEDC" w14:textId="59E87ECC" w:rsidR="00BC3FB4" w:rsidRPr="00BC3FB4" w:rsidRDefault="00BC3FB4" w:rsidP="00BC3FB4">
      <w:pPr>
        <w:numPr>
          <w:ilvl w:val="0"/>
          <w:numId w:val="8"/>
        </w:numPr>
      </w:pPr>
      <w:r w:rsidRPr="00BC3FB4">
        <w:t>Vanguard Australian Property Securities Index </w:t>
      </w:r>
      <w:r w:rsidRPr="00BC3FB4">
        <w:rPr>
          <w:b/>
          <w:bCs/>
        </w:rPr>
        <w:t>(Morningstar Rated Gold)</w:t>
      </w:r>
      <w:r w:rsidRPr="00BC3FB4">
        <w:t xml:space="preserve"> is </w:t>
      </w:r>
      <w:r w:rsidR="00C44D3C">
        <w:t>the</w:t>
      </w:r>
      <w:r w:rsidR="00C44D3C" w:rsidRPr="00BC3FB4">
        <w:t xml:space="preserve"> </w:t>
      </w:r>
      <w:r w:rsidRPr="00BC3FB4">
        <w:t xml:space="preserve">top choice in this category. This highly efficient strategy provides access to the domestic listed property sector via an impressively constructed index, with an unbeatable cost advantage </w:t>
      </w:r>
      <w:proofErr w:type="gramStart"/>
      <w:r w:rsidRPr="00BC3FB4">
        <w:t>over active</w:t>
      </w:r>
      <w:proofErr w:type="gramEnd"/>
      <w:r w:rsidRPr="00BC3FB4">
        <w:t xml:space="preserve"> and passive peers alike. The Australian REIT market is small, with just 47 listings on the ASX as of August 2022. Inevitably, few active managers in our coverage are able to outperform the benchmark, thereby making the appeal of passive strategies strong in this market segment. </w:t>
      </w:r>
    </w:p>
    <w:p w14:paraId="5C508250" w14:textId="77777777" w:rsidR="00A0504E" w:rsidRPr="00A0504E" w:rsidRDefault="00A0504E" w:rsidP="00BC3FB4">
      <w:pPr>
        <w:pStyle w:val="Heading3"/>
      </w:pPr>
    </w:p>
    <w:sectPr w:rsidR="00A0504E" w:rsidRPr="00A05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2DA4" w14:textId="77777777" w:rsidR="00100A6A" w:rsidRDefault="00100A6A" w:rsidP="00BC3FB4">
      <w:pPr>
        <w:spacing w:after="0" w:line="240" w:lineRule="auto"/>
      </w:pPr>
      <w:r>
        <w:separator/>
      </w:r>
    </w:p>
  </w:endnote>
  <w:endnote w:type="continuationSeparator" w:id="0">
    <w:p w14:paraId="47E07D17" w14:textId="77777777" w:rsidR="00100A6A" w:rsidRDefault="00100A6A" w:rsidP="00BC3FB4">
      <w:pPr>
        <w:spacing w:after="0" w:line="240" w:lineRule="auto"/>
      </w:pPr>
      <w:r>
        <w:continuationSeparator/>
      </w:r>
    </w:p>
  </w:endnote>
  <w:endnote w:type="continuationNotice" w:id="1">
    <w:p w14:paraId="4C56F3DE" w14:textId="77777777" w:rsidR="00100A6A" w:rsidRDefault="00100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B7F1" w14:textId="77777777" w:rsidR="00100A6A" w:rsidRDefault="00100A6A" w:rsidP="00BC3FB4">
      <w:pPr>
        <w:spacing w:after="0" w:line="240" w:lineRule="auto"/>
      </w:pPr>
      <w:r>
        <w:separator/>
      </w:r>
    </w:p>
  </w:footnote>
  <w:footnote w:type="continuationSeparator" w:id="0">
    <w:p w14:paraId="6B9CEA2D" w14:textId="77777777" w:rsidR="00100A6A" w:rsidRDefault="00100A6A" w:rsidP="00BC3FB4">
      <w:pPr>
        <w:spacing w:after="0" w:line="240" w:lineRule="auto"/>
      </w:pPr>
      <w:r>
        <w:continuationSeparator/>
      </w:r>
    </w:p>
  </w:footnote>
  <w:footnote w:type="continuationNotice" w:id="1">
    <w:p w14:paraId="4A8F08F4" w14:textId="77777777" w:rsidR="00100A6A" w:rsidRDefault="00100A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367"/>
    <w:multiLevelType w:val="multilevel"/>
    <w:tmpl w:val="500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7674E"/>
    <w:multiLevelType w:val="hybridMultilevel"/>
    <w:tmpl w:val="F4527980"/>
    <w:lvl w:ilvl="0" w:tplc="C666C04A">
      <w:numFmt w:val="bullet"/>
      <w:lvlText w:val=""/>
      <w:lvlJc w:val="left"/>
      <w:pPr>
        <w:ind w:left="940" w:hanging="361"/>
      </w:pPr>
      <w:rPr>
        <w:rFonts w:ascii="Symbol" w:eastAsia="Symbol" w:hAnsi="Symbol" w:cs="Symbol" w:hint="default"/>
        <w:b w:val="0"/>
        <w:bCs w:val="0"/>
        <w:i w:val="0"/>
        <w:iCs w:val="0"/>
        <w:w w:val="100"/>
        <w:sz w:val="22"/>
        <w:szCs w:val="22"/>
        <w:lang w:val="en-AU" w:eastAsia="en-US" w:bidi="ar-SA"/>
      </w:rPr>
    </w:lvl>
    <w:lvl w:ilvl="1" w:tplc="5C268510">
      <w:numFmt w:val="bullet"/>
      <w:lvlText w:val="•"/>
      <w:lvlJc w:val="left"/>
      <w:pPr>
        <w:ind w:left="1936" w:hanging="361"/>
      </w:pPr>
      <w:rPr>
        <w:rFonts w:hint="default"/>
        <w:lang w:val="en-AU" w:eastAsia="en-US" w:bidi="ar-SA"/>
      </w:rPr>
    </w:lvl>
    <w:lvl w:ilvl="2" w:tplc="4C8A9CF0">
      <w:numFmt w:val="bullet"/>
      <w:lvlText w:val="•"/>
      <w:lvlJc w:val="left"/>
      <w:pPr>
        <w:ind w:left="2933" w:hanging="361"/>
      </w:pPr>
      <w:rPr>
        <w:rFonts w:hint="default"/>
        <w:lang w:val="en-AU" w:eastAsia="en-US" w:bidi="ar-SA"/>
      </w:rPr>
    </w:lvl>
    <w:lvl w:ilvl="3" w:tplc="1578FEFA">
      <w:numFmt w:val="bullet"/>
      <w:lvlText w:val="•"/>
      <w:lvlJc w:val="left"/>
      <w:pPr>
        <w:ind w:left="3929" w:hanging="361"/>
      </w:pPr>
      <w:rPr>
        <w:rFonts w:hint="default"/>
        <w:lang w:val="en-AU" w:eastAsia="en-US" w:bidi="ar-SA"/>
      </w:rPr>
    </w:lvl>
    <w:lvl w:ilvl="4" w:tplc="418A968C">
      <w:numFmt w:val="bullet"/>
      <w:lvlText w:val="•"/>
      <w:lvlJc w:val="left"/>
      <w:pPr>
        <w:ind w:left="4926" w:hanging="361"/>
      </w:pPr>
      <w:rPr>
        <w:rFonts w:hint="default"/>
        <w:lang w:val="en-AU" w:eastAsia="en-US" w:bidi="ar-SA"/>
      </w:rPr>
    </w:lvl>
    <w:lvl w:ilvl="5" w:tplc="F7482C14">
      <w:numFmt w:val="bullet"/>
      <w:lvlText w:val="•"/>
      <w:lvlJc w:val="left"/>
      <w:pPr>
        <w:ind w:left="5923" w:hanging="361"/>
      </w:pPr>
      <w:rPr>
        <w:rFonts w:hint="default"/>
        <w:lang w:val="en-AU" w:eastAsia="en-US" w:bidi="ar-SA"/>
      </w:rPr>
    </w:lvl>
    <w:lvl w:ilvl="6" w:tplc="8A72CE3E">
      <w:numFmt w:val="bullet"/>
      <w:lvlText w:val="•"/>
      <w:lvlJc w:val="left"/>
      <w:pPr>
        <w:ind w:left="6919" w:hanging="361"/>
      </w:pPr>
      <w:rPr>
        <w:rFonts w:hint="default"/>
        <w:lang w:val="en-AU" w:eastAsia="en-US" w:bidi="ar-SA"/>
      </w:rPr>
    </w:lvl>
    <w:lvl w:ilvl="7" w:tplc="9AC4F33C">
      <w:numFmt w:val="bullet"/>
      <w:lvlText w:val="•"/>
      <w:lvlJc w:val="left"/>
      <w:pPr>
        <w:ind w:left="7916" w:hanging="361"/>
      </w:pPr>
      <w:rPr>
        <w:rFonts w:hint="default"/>
        <w:lang w:val="en-AU" w:eastAsia="en-US" w:bidi="ar-SA"/>
      </w:rPr>
    </w:lvl>
    <w:lvl w:ilvl="8" w:tplc="CBBA5E50">
      <w:numFmt w:val="bullet"/>
      <w:lvlText w:val="•"/>
      <w:lvlJc w:val="left"/>
      <w:pPr>
        <w:ind w:left="8913" w:hanging="361"/>
      </w:pPr>
      <w:rPr>
        <w:rFonts w:hint="default"/>
        <w:lang w:val="en-AU" w:eastAsia="en-US" w:bidi="ar-SA"/>
      </w:rPr>
    </w:lvl>
  </w:abstractNum>
  <w:abstractNum w:abstractNumId="2" w15:restartNumberingAfterBreak="0">
    <w:nsid w:val="30D80FFC"/>
    <w:multiLevelType w:val="multilevel"/>
    <w:tmpl w:val="D298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A3818"/>
    <w:multiLevelType w:val="multilevel"/>
    <w:tmpl w:val="71C0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5A1476"/>
    <w:multiLevelType w:val="hybridMultilevel"/>
    <w:tmpl w:val="F746D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2913E6"/>
    <w:multiLevelType w:val="multilevel"/>
    <w:tmpl w:val="4B62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B94FAF"/>
    <w:multiLevelType w:val="hybridMultilevel"/>
    <w:tmpl w:val="5F164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AF1554"/>
    <w:multiLevelType w:val="multilevel"/>
    <w:tmpl w:val="CB24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2411F"/>
    <w:multiLevelType w:val="hybridMultilevel"/>
    <w:tmpl w:val="67EE7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8361933">
    <w:abstractNumId w:val="8"/>
  </w:num>
  <w:num w:numId="2" w16cid:durableId="1887716279">
    <w:abstractNumId w:val="1"/>
  </w:num>
  <w:num w:numId="3" w16cid:durableId="640186334">
    <w:abstractNumId w:val="6"/>
  </w:num>
  <w:num w:numId="4" w16cid:durableId="615021892">
    <w:abstractNumId w:val="3"/>
  </w:num>
  <w:num w:numId="5" w16cid:durableId="2000887877">
    <w:abstractNumId w:val="7"/>
  </w:num>
  <w:num w:numId="6" w16cid:durableId="589002416">
    <w:abstractNumId w:val="5"/>
  </w:num>
  <w:num w:numId="7" w16cid:durableId="402292529">
    <w:abstractNumId w:val="2"/>
  </w:num>
  <w:num w:numId="8" w16cid:durableId="1244606962">
    <w:abstractNumId w:val="0"/>
  </w:num>
  <w:num w:numId="9" w16cid:durableId="27030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7c0MTQwNzM2MDdQ0lEKTi0uzszPAykwNKkFABIV+GAtAAAA"/>
  </w:docVars>
  <w:rsids>
    <w:rsidRoot w:val="00CB29BC"/>
    <w:rsid w:val="000348F5"/>
    <w:rsid w:val="00061AA2"/>
    <w:rsid w:val="000706DA"/>
    <w:rsid w:val="000C7142"/>
    <w:rsid w:val="00100A6A"/>
    <w:rsid w:val="00122AF2"/>
    <w:rsid w:val="0013226B"/>
    <w:rsid w:val="00140979"/>
    <w:rsid w:val="0014147F"/>
    <w:rsid w:val="001567A3"/>
    <w:rsid w:val="00182BC1"/>
    <w:rsid w:val="001845A0"/>
    <w:rsid w:val="001C74DA"/>
    <w:rsid w:val="001C7CBC"/>
    <w:rsid w:val="001E2975"/>
    <w:rsid w:val="00222FFD"/>
    <w:rsid w:val="00276D43"/>
    <w:rsid w:val="002A65C0"/>
    <w:rsid w:val="0032260C"/>
    <w:rsid w:val="003A1152"/>
    <w:rsid w:val="003A57C0"/>
    <w:rsid w:val="003C4A43"/>
    <w:rsid w:val="003F0793"/>
    <w:rsid w:val="00400E37"/>
    <w:rsid w:val="00421876"/>
    <w:rsid w:val="00463E63"/>
    <w:rsid w:val="00477324"/>
    <w:rsid w:val="004C3552"/>
    <w:rsid w:val="004E0959"/>
    <w:rsid w:val="00522E08"/>
    <w:rsid w:val="0059724C"/>
    <w:rsid w:val="005A5CB0"/>
    <w:rsid w:val="005B5EC0"/>
    <w:rsid w:val="005D31B0"/>
    <w:rsid w:val="0062165C"/>
    <w:rsid w:val="00646F06"/>
    <w:rsid w:val="00660F1E"/>
    <w:rsid w:val="00670ECB"/>
    <w:rsid w:val="006A54AF"/>
    <w:rsid w:val="006C1FD8"/>
    <w:rsid w:val="006C3ACE"/>
    <w:rsid w:val="00700D07"/>
    <w:rsid w:val="00701F07"/>
    <w:rsid w:val="00702148"/>
    <w:rsid w:val="00712EA5"/>
    <w:rsid w:val="0072390B"/>
    <w:rsid w:val="007507AC"/>
    <w:rsid w:val="00774989"/>
    <w:rsid w:val="0077555E"/>
    <w:rsid w:val="0078496C"/>
    <w:rsid w:val="007C3AC9"/>
    <w:rsid w:val="007D5F05"/>
    <w:rsid w:val="007F4281"/>
    <w:rsid w:val="007F499A"/>
    <w:rsid w:val="008163EE"/>
    <w:rsid w:val="00876E6C"/>
    <w:rsid w:val="008953DA"/>
    <w:rsid w:val="008B6949"/>
    <w:rsid w:val="008C0F61"/>
    <w:rsid w:val="008D0837"/>
    <w:rsid w:val="008D79BA"/>
    <w:rsid w:val="00932FB9"/>
    <w:rsid w:val="009337C0"/>
    <w:rsid w:val="009828E0"/>
    <w:rsid w:val="00A0504E"/>
    <w:rsid w:val="00A05F5B"/>
    <w:rsid w:val="00A34C65"/>
    <w:rsid w:val="00A409F5"/>
    <w:rsid w:val="00A857B7"/>
    <w:rsid w:val="00AC7770"/>
    <w:rsid w:val="00B10C6C"/>
    <w:rsid w:val="00B16ECD"/>
    <w:rsid w:val="00B228A7"/>
    <w:rsid w:val="00B23F93"/>
    <w:rsid w:val="00B27E17"/>
    <w:rsid w:val="00B319E8"/>
    <w:rsid w:val="00B71B6C"/>
    <w:rsid w:val="00B829F8"/>
    <w:rsid w:val="00B85C4A"/>
    <w:rsid w:val="00B8751C"/>
    <w:rsid w:val="00B960C8"/>
    <w:rsid w:val="00BC3FB4"/>
    <w:rsid w:val="00BF7BBE"/>
    <w:rsid w:val="00C12100"/>
    <w:rsid w:val="00C26DB0"/>
    <w:rsid w:val="00C44D3C"/>
    <w:rsid w:val="00C7361A"/>
    <w:rsid w:val="00C74C8B"/>
    <w:rsid w:val="00C97987"/>
    <w:rsid w:val="00CA0E08"/>
    <w:rsid w:val="00CB29BC"/>
    <w:rsid w:val="00CC5824"/>
    <w:rsid w:val="00CD2400"/>
    <w:rsid w:val="00D008AE"/>
    <w:rsid w:val="00D35FF3"/>
    <w:rsid w:val="00D50EF4"/>
    <w:rsid w:val="00D71E56"/>
    <w:rsid w:val="00DE7E71"/>
    <w:rsid w:val="00E14AB4"/>
    <w:rsid w:val="00E56275"/>
    <w:rsid w:val="00E620A3"/>
    <w:rsid w:val="00E77BE6"/>
    <w:rsid w:val="00EB0F1C"/>
    <w:rsid w:val="00ED748D"/>
    <w:rsid w:val="00EF4E13"/>
    <w:rsid w:val="00F53217"/>
    <w:rsid w:val="00F766E5"/>
    <w:rsid w:val="00FD51FD"/>
    <w:rsid w:val="00FD5211"/>
    <w:rsid w:val="00FD71A2"/>
    <w:rsid w:val="00FF3C44"/>
    <w:rsid w:val="1192AF32"/>
    <w:rsid w:val="11AF0297"/>
    <w:rsid w:val="1A147AE5"/>
    <w:rsid w:val="1FD1897E"/>
    <w:rsid w:val="21539D55"/>
    <w:rsid w:val="24CEA16F"/>
    <w:rsid w:val="2538A85A"/>
    <w:rsid w:val="2CB99A8B"/>
    <w:rsid w:val="31F2B2DE"/>
    <w:rsid w:val="34E4C539"/>
    <w:rsid w:val="3B159B93"/>
    <w:rsid w:val="3C5DC9E4"/>
    <w:rsid w:val="3FFE10CB"/>
    <w:rsid w:val="422D1D56"/>
    <w:rsid w:val="4D9B9E8F"/>
    <w:rsid w:val="57682944"/>
    <w:rsid w:val="57F1E451"/>
    <w:rsid w:val="5853B38B"/>
    <w:rsid w:val="5D644767"/>
    <w:rsid w:val="601F0B17"/>
    <w:rsid w:val="6360658A"/>
    <w:rsid w:val="6455408F"/>
    <w:rsid w:val="657F335D"/>
    <w:rsid w:val="6B193115"/>
    <w:rsid w:val="6BDCD468"/>
    <w:rsid w:val="6E40992A"/>
    <w:rsid w:val="6EA24EE3"/>
    <w:rsid w:val="71AC27DA"/>
    <w:rsid w:val="72091836"/>
    <w:rsid w:val="76781119"/>
    <w:rsid w:val="76BD08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B07FC"/>
  <w15:chartTrackingRefBased/>
  <w15:docId w15:val="{3CF4B510-90B5-4D5D-B55D-324534E6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BC"/>
  </w:style>
  <w:style w:type="paragraph" w:styleId="Heading1">
    <w:name w:val="heading 1"/>
    <w:basedOn w:val="Normal"/>
    <w:next w:val="Normal"/>
    <w:link w:val="Heading1Char"/>
    <w:uiPriority w:val="9"/>
    <w:qFormat/>
    <w:rsid w:val="00CB29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9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50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9BC"/>
    <w:rPr>
      <w:color w:val="0563C1" w:themeColor="hyperlink"/>
      <w:u w:val="single"/>
    </w:rPr>
  </w:style>
  <w:style w:type="character" w:styleId="CommentReference">
    <w:name w:val="annotation reference"/>
    <w:basedOn w:val="DefaultParagraphFont"/>
    <w:uiPriority w:val="99"/>
    <w:semiHidden/>
    <w:unhideWhenUsed/>
    <w:rsid w:val="00CB29BC"/>
    <w:rPr>
      <w:sz w:val="16"/>
      <w:szCs w:val="16"/>
    </w:rPr>
  </w:style>
  <w:style w:type="paragraph" w:styleId="CommentText">
    <w:name w:val="annotation text"/>
    <w:basedOn w:val="Normal"/>
    <w:link w:val="CommentTextChar"/>
    <w:uiPriority w:val="99"/>
    <w:unhideWhenUsed/>
    <w:rsid w:val="00CB29BC"/>
    <w:pPr>
      <w:spacing w:line="240" w:lineRule="auto"/>
    </w:pPr>
    <w:rPr>
      <w:sz w:val="20"/>
      <w:szCs w:val="20"/>
    </w:rPr>
  </w:style>
  <w:style w:type="character" w:customStyle="1" w:styleId="CommentTextChar">
    <w:name w:val="Comment Text Char"/>
    <w:basedOn w:val="DefaultParagraphFont"/>
    <w:link w:val="CommentText"/>
    <w:uiPriority w:val="99"/>
    <w:rsid w:val="00CB29BC"/>
    <w:rPr>
      <w:sz w:val="20"/>
      <w:szCs w:val="20"/>
    </w:rPr>
  </w:style>
  <w:style w:type="paragraph" w:styleId="CommentSubject">
    <w:name w:val="annotation subject"/>
    <w:basedOn w:val="CommentText"/>
    <w:next w:val="CommentText"/>
    <w:link w:val="CommentSubjectChar"/>
    <w:uiPriority w:val="99"/>
    <w:semiHidden/>
    <w:unhideWhenUsed/>
    <w:rsid w:val="00CB29BC"/>
    <w:rPr>
      <w:b/>
      <w:bCs/>
    </w:rPr>
  </w:style>
  <w:style w:type="character" w:customStyle="1" w:styleId="CommentSubjectChar">
    <w:name w:val="Comment Subject Char"/>
    <w:basedOn w:val="CommentTextChar"/>
    <w:link w:val="CommentSubject"/>
    <w:uiPriority w:val="99"/>
    <w:semiHidden/>
    <w:rsid w:val="00CB29BC"/>
    <w:rPr>
      <w:b/>
      <w:bCs/>
      <w:sz w:val="20"/>
      <w:szCs w:val="20"/>
    </w:rPr>
  </w:style>
  <w:style w:type="character" w:customStyle="1" w:styleId="Heading1Char">
    <w:name w:val="Heading 1 Char"/>
    <w:basedOn w:val="DefaultParagraphFont"/>
    <w:link w:val="Heading1"/>
    <w:uiPriority w:val="9"/>
    <w:rsid w:val="00CB29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29BC"/>
    <w:pPr>
      <w:outlineLvl w:val="9"/>
    </w:pPr>
    <w:rPr>
      <w:lang w:val="en-US"/>
    </w:rPr>
  </w:style>
  <w:style w:type="character" w:customStyle="1" w:styleId="Heading2Char">
    <w:name w:val="Heading 2 Char"/>
    <w:basedOn w:val="DefaultParagraphFont"/>
    <w:link w:val="Heading2"/>
    <w:uiPriority w:val="9"/>
    <w:rsid w:val="00CB29BC"/>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B29B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B29BC"/>
    <w:rPr>
      <w:rFonts w:ascii="Calibri" w:eastAsia="Calibri" w:hAnsi="Calibri" w:cs="Calibri"/>
    </w:rPr>
  </w:style>
  <w:style w:type="paragraph" w:styleId="ListParagraph">
    <w:name w:val="List Paragraph"/>
    <w:basedOn w:val="Normal"/>
    <w:uiPriority w:val="34"/>
    <w:qFormat/>
    <w:rsid w:val="00CB29BC"/>
    <w:pPr>
      <w:spacing w:after="200" w:line="276" w:lineRule="auto"/>
      <w:ind w:left="720"/>
      <w:contextualSpacing/>
    </w:pPr>
  </w:style>
  <w:style w:type="table" w:customStyle="1" w:styleId="GridTable4-Accent21">
    <w:name w:val="Grid Table 4 - Accent 21"/>
    <w:basedOn w:val="TableNormal"/>
    <w:uiPriority w:val="49"/>
    <w:rsid w:val="00CB29BC"/>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3Char">
    <w:name w:val="Heading 3 Char"/>
    <w:basedOn w:val="DefaultParagraphFont"/>
    <w:link w:val="Heading3"/>
    <w:uiPriority w:val="9"/>
    <w:rsid w:val="00A0504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0504E"/>
    <w:rPr>
      <w:b/>
      <w:bCs/>
    </w:rPr>
  </w:style>
  <w:style w:type="paragraph" w:styleId="TOC1">
    <w:name w:val="toc 1"/>
    <w:basedOn w:val="Normal"/>
    <w:next w:val="Normal"/>
    <w:autoRedefine/>
    <w:uiPriority w:val="39"/>
    <w:unhideWhenUsed/>
    <w:rsid w:val="00BC3FB4"/>
    <w:pPr>
      <w:spacing w:after="100"/>
    </w:pPr>
  </w:style>
  <w:style w:type="paragraph" w:styleId="TOC2">
    <w:name w:val="toc 2"/>
    <w:basedOn w:val="Normal"/>
    <w:next w:val="Normal"/>
    <w:autoRedefine/>
    <w:uiPriority w:val="39"/>
    <w:unhideWhenUsed/>
    <w:rsid w:val="00BC3FB4"/>
    <w:pPr>
      <w:spacing w:after="100"/>
      <w:ind w:left="220"/>
    </w:pPr>
  </w:style>
  <w:style w:type="paragraph" w:styleId="TOC3">
    <w:name w:val="toc 3"/>
    <w:basedOn w:val="Normal"/>
    <w:next w:val="Normal"/>
    <w:autoRedefine/>
    <w:uiPriority w:val="39"/>
    <w:unhideWhenUsed/>
    <w:rsid w:val="00BC3FB4"/>
    <w:pPr>
      <w:spacing w:after="100"/>
      <w:ind w:left="440"/>
    </w:p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4218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876"/>
  </w:style>
  <w:style w:type="paragraph" w:styleId="Footer">
    <w:name w:val="footer"/>
    <w:basedOn w:val="Normal"/>
    <w:link w:val="FooterChar"/>
    <w:uiPriority w:val="99"/>
    <w:semiHidden/>
    <w:unhideWhenUsed/>
    <w:rsid w:val="004218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1876"/>
  </w:style>
  <w:style w:type="table" w:styleId="GridTable4-Accent5">
    <w:name w:val="Grid Table 4 Accent 5"/>
    <w:basedOn w:val="TableNormal"/>
    <w:uiPriority w:val="49"/>
    <w:rsid w:val="00FD71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C74C8B"/>
    <w:pPr>
      <w:spacing w:after="0" w:line="240" w:lineRule="auto"/>
    </w:pPr>
  </w:style>
  <w:style w:type="character" w:customStyle="1" w:styleId="normaltextrun">
    <w:name w:val="normaltextrun"/>
    <w:basedOn w:val="DefaultParagraphFont"/>
    <w:rsid w:val="00C74C8B"/>
  </w:style>
  <w:style w:type="character" w:customStyle="1" w:styleId="ui-provider">
    <w:name w:val="ui-provider"/>
    <w:basedOn w:val="DefaultParagraphFont"/>
    <w:rsid w:val="00222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rningstarinvestments.com.au/fs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rningstarinvestments.com.au/fs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970E8471219469166A1E6C7CE3651" ma:contentTypeVersion="14" ma:contentTypeDescription="Create a new document." ma:contentTypeScope="" ma:versionID="8a81e5d779a521e61993e63ade5ebd02">
  <xsd:schema xmlns:xsd="http://www.w3.org/2001/XMLSchema" xmlns:xs="http://www.w3.org/2001/XMLSchema" xmlns:p="http://schemas.microsoft.com/office/2006/metadata/properties" xmlns:ns3="37036e51-40b7-40ba-b063-7f4d51cdf92a" xmlns:ns4="15ddf303-dfe8-48ce-bf4e-6f50e75745c4" targetNamespace="http://schemas.microsoft.com/office/2006/metadata/properties" ma:root="true" ma:fieldsID="b4e815a14fda354e1f0accdaadf6eb3b" ns3:_="" ns4:_="">
    <xsd:import namespace="37036e51-40b7-40ba-b063-7f4d51cdf92a"/>
    <xsd:import namespace="15ddf303-dfe8-48ce-bf4e-6f50e75745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36e51-40b7-40ba-b063-7f4d51cdf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df303-dfe8-48ce-bf4e-6f50e757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37036e51-40b7-40ba-b063-7f4d51cdf92a" xsi:nil="true"/>
  </documentManagement>
</p:properties>
</file>

<file path=customXml/itemProps1.xml><?xml version="1.0" encoding="utf-8"?>
<ds:datastoreItem xmlns:ds="http://schemas.openxmlformats.org/officeDocument/2006/customXml" ds:itemID="{58BBFAB7-BB66-4A5D-B443-B77DCF8AB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36e51-40b7-40ba-b063-7f4d51cdf92a"/>
    <ds:schemaRef ds:uri="15ddf303-dfe8-48ce-bf4e-6f50e757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E187F-4BB2-413C-B7AA-C05990999EA2}">
  <ds:schemaRefs>
    <ds:schemaRef ds:uri="http://schemas.microsoft.com/sharepoint/v3/contenttype/forms"/>
  </ds:schemaRefs>
</ds:datastoreItem>
</file>

<file path=customXml/itemProps3.xml><?xml version="1.0" encoding="utf-8"?>
<ds:datastoreItem xmlns:ds="http://schemas.openxmlformats.org/officeDocument/2006/customXml" ds:itemID="{8DFA052B-A988-48B0-841C-549A76076F79}">
  <ds:schemaRefs>
    <ds:schemaRef ds:uri="http://schemas.openxmlformats.org/officeDocument/2006/bibliography"/>
  </ds:schemaRefs>
</ds:datastoreItem>
</file>

<file path=customXml/itemProps4.xml><?xml version="1.0" encoding="utf-8"?>
<ds:datastoreItem xmlns:ds="http://schemas.openxmlformats.org/officeDocument/2006/customXml" ds:itemID="{C623DEAA-7349-4236-9C40-D5E623F9E2E6}">
  <ds:schemaRefs>
    <ds:schemaRef ds:uri="http://schemas.microsoft.com/office/2006/metadata/properties"/>
    <ds:schemaRef ds:uri="http://schemas.microsoft.com/office/infopath/2007/PartnerControls"/>
    <ds:schemaRef ds:uri="37036e51-40b7-40ba-b063-7f4d51cdf9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56605</CharactersWithSpaces>
  <SharedDoc>false</SharedDoc>
  <HLinks>
    <vt:vector size="354" baseType="variant">
      <vt:variant>
        <vt:i4>1114172</vt:i4>
      </vt:variant>
      <vt:variant>
        <vt:i4>176</vt:i4>
      </vt:variant>
      <vt:variant>
        <vt:i4>0</vt:i4>
      </vt:variant>
      <vt:variant>
        <vt:i4>5</vt:i4>
      </vt:variant>
      <vt:variant>
        <vt:lpwstr/>
      </vt:variant>
      <vt:variant>
        <vt:lpwstr>_Toc129244025</vt:lpwstr>
      </vt:variant>
      <vt:variant>
        <vt:i4>1114172</vt:i4>
      </vt:variant>
      <vt:variant>
        <vt:i4>170</vt:i4>
      </vt:variant>
      <vt:variant>
        <vt:i4>0</vt:i4>
      </vt:variant>
      <vt:variant>
        <vt:i4>5</vt:i4>
      </vt:variant>
      <vt:variant>
        <vt:lpwstr/>
      </vt:variant>
      <vt:variant>
        <vt:lpwstr>_Toc129244024</vt:lpwstr>
      </vt:variant>
      <vt:variant>
        <vt:i4>1114172</vt:i4>
      </vt:variant>
      <vt:variant>
        <vt:i4>164</vt:i4>
      </vt:variant>
      <vt:variant>
        <vt:i4>0</vt:i4>
      </vt:variant>
      <vt:variant>
        <vt:i4>5</vt:i4>
      </vt:variant>
      <vt:variant>
        <vt:lpwstr/>
      </vt:variant>
      <vt:variant>
        <vt:lpwstr>_Toc129244023</vt:lpwstr>
      </vt:variant>
      <vt:variant>
        <vt:i4>1114172</vt:i4>
      </vt:variant>
      <vt:variant>
        <vt:i4>158</vt:i4>
      </vt:variant>
      <vt:variant>
        <vt:i4>0</vt:i4>
      </vt:variant>
      <vt:variant>
        <vt:i4>5</vt:i4>
      </vt:variant>
      <vt:variant>
        <vt:lpwstr/>
      </vt:variant>
      <vt:variant>
        <vt:lpwstr>_Toc129244022</vt:lpwstr>
      </vt:variant>
      <vt:variant>
        <vt:i4>1114172</vt:i4>
      </vt:variant>
      <vt:variant>
        <vt:i4>152</vt:i4>
      </vt:variant>
      <vt:variant>
        <vt:i4>0</vt:i4>
      </vt:variant>
      <vt:variant>
        <vt:i4>5</vt:i4>
      </vt:variant>
      <vt:variant>
        <vt:lpwstr/>
      </vt:variant>
      <vt:variant>
        <vt:lpwstr>_Toc129244021</vt:lpwstr>
      </vt:variant>
      <vt:variant>
        <vt:i4>1114172</vt:i4>
      </vt:variant>
      <vt:variant>
        <vt:i4>146</vt:i4>
      </vt:variant>
      <vt:variant>
        <vt:i4>0</vt:i4>
      </vt:variant>
      <vt:variant>
        <vt:i4>5</vt:i4>
      </vt:variant>
      <vt:variant>
        <vt:lpwstr/>
      </vt:variant>
      <vt:variant>
        <vt:lpwstr>_Toc129244020</vt:lpwstr>
      </vt:variant>
      <vt:variant>
        <vt:i4>1179708</vt:i4>
      </vt:variant>
      <vt:variant>
        <vt:i4>140</vt:i4>
      </vt:variant>
      <vt:variant>
        <vt:i4>0</vt:i4>
      </vt:variant>
      <vt:variant>
        <vt:i4>5</vt:i4>
      </vt:variant>
      <vt:variant>
        <vt:lpwstr/>
      </vt:variant>
      <vt:variant>
        <vt:lpwstr>_Toc129244019</vt:lpwstr>
      </vt:variant>
      <vt:variant>
        <vt:i4>1179708</vt:i4>
      </vt:variant>
      <vt:variant>
        <vt:i4>134</vt:i4>
      </vt:variant>
      <vt:variant>
        <vt:i4>0</vt:i4>
      </vt:variant>
      <vt:variant>
        <vt:i4>5</vt:i4>
      </vt:variant>
      <vt:variant>
        <vt:lpwstr/>
      </vt:variant>
      <vt:variant>
        <vt:lpwstr>_Toc129244018</vt:lpwstr>
      </vt:variant>
      <vt:variant>
        <vt:i4>1179708</vt:i4>
      </vt:variant>
      <vt:variant>
        <vt:i4>128</vt:i4>
      </vt:variant>
      <vt:variant>
        <vt:i4>0</vt:i4>
      </vt:variant>
      <vt:variant>
        <vt:i4>5</vt:i4>
      </vt:variant>
      <vt:variant>
        <vt:lpwstr/>
      </vt:variant>
      <vt:variant>
        <vt:lpwstr>_Toc129244017</vt:lpwstr>
      </vt:variant>
      <vt:variant>
        <vt:i4>1179708</vt:i4>
      </vt:variant>
      <vt:variant>
        <vt:i4>122</vt:i4>
      </vt:variant>
      <vt:variant>
        <vt:i4>0</vt:i4>
      </vt:variant>
      <vt:variant>
        <vt:i4>5</vt:i4>
      </vt:variant>
      <vt:variant>
        <vt:lpwstr/>
      </vt:variant>
      <vt:variant>
        <vt:lpwstr>_Toc129244016</vt:lpwstr>
      </vt:variant>
      <vt:variant>
        <vt:i4>1179708</vt:i4>
      </vt:variant>
      <vt:variant>
        <vt:i4>116</vt:i4>
      </vt:variant>
      <vt:variant>
        <vt:i4>0</vt:i4>
      </vt:variant>
      <vt:variant>
        <vt:i4>5</vt:i4>
      </vt:variant>
      <vt:variant>
        <vt:lpwstr/>
      </vt:variant>
      <vt:variant>
        <vt:lpwstr>_Toc129244015</vt:lpwstr>
      </vt:variant>
      <vt:variant>
        <vt:i4>1179708</vt:i4>
      </vt:variant>
      <vt:variant>
        <vt:i4>110</vt:i4>
      </vt:variant>
      <vt:variant>
        <vt:i4>0</vt:i4>
      </vt:variant>
      <vt:variant>
        <vt:i4>5</vt:i4>
      </vt:variant>
      <vt:variant>
        <vt:lpwstr/>
      </vt:variant>
      <vt:variant>
        <vt:lpwstr>_Toc129244014</vt:lpwstr>
      </vt:variant>
      <vt:variant>
        <vt:i4>1179708</vt:i4>
      </vt:variant>
      <vt:variant>
        <vt:i4>104</vt:i4>
      </vt:variant>
      <vt:variant>
        <vt:i4>0</vt:i4>
      </vt:variant>
      <vt:variant>
        <vt:i4>5</vt:i4>
      </vt:variant>
      <vt:variant>
        <vt:lpwstr/>
      </vt:variant>
      <vt:variant>
        <vt:lpwstr>_Toc129244013</vt:lpwstr>
      </vt:variant>
      <vt:variant>
        <vt:i4>1179708</vt:i4>
      </vt:variant>
      <vt:variant>
        <vt:i4>98</vt:i4>
      </vt:variant>
      <vt:variant>
        <vt:i4>0</vt:i4>
      </vt:variant>
      <vt:variant>
        <vt:i4>5</vt:i4>
      </vt:variant>
      <vt:variant>
        <vt:lpwstr/>
      </vt:variant>
      <vt:variant>
        <vt:lpwstr>_Toc129244012</vt:lpwstr>
      </vt:variant>
      <vt:variant>
        <vt:i4>1179708</vt:i4>
      </vt:variant>
      <vt:variant>
        <vt:i4>92</vt:i4>
      </vt:variant>
      <vt:variant>
        <vt:i4>0</vt:i4>
      </vt:variant>
      <vt:variant>
        <vt:i4>5</vt:i4>
      </vt:variant>
      <vt:variant>
        <vt:lpwstr/>
      </vt:variant>
      <vt:variant>
        <vt:lpwstr>_Toc129244011</vt:lpwstr>
      </vt:variant>
      <vt:variant>
        <vt:i4>1179708</vt:i4>
      </vt:variant>
      <vt:variant>
        <vt:i4>86</vt:i4>
      </vt:variant>
      <vt:variant>
        <vt:i4>0</vt:i4>
      </vt:variant>
      <vt:variant>
        <vt:i4>5</vt:i4>
      </vt:variant>
      <vt:variant>
        <vt:lpwstr/>
      </vt:variant>
      <vt:variant>
        <vt:lpwstr>_Toc129244010</vt:lpwstr>
      </vt:variant>
      <vt:variant>
        <vt:i4>1245244</vt:i4>
      </vt:variant>
      <vt:variant>
        <vt:i4>80</vt:i4>
      </vt:variant>
      <vt:variant>
        <vt:i4>0</vt:i4>
      </vt:variant>
      <vt:variant>
        <vt:i4>5</vt:i4>
      </vt:variant>
      <vt:variant>
        <vt:lpwstr/>
      </vt:variant>
      <vt:variant>
        <vt:lpwstr>_Toc129244009</vt:lpwstr>
      </vt:variant>
      <vt:variant>
        <vt:i4>1245244</vt:i4>
      </vt:variant>
      <vt:variant>
        <vt:i4>74</vt:i4>
      </vt:variant>
      <vt:variant>
        <vt:i4>0</vt:i4>
      </vt:variant>
      <vt:variant>
        <vt:i4>5</vt:i4>
      </vt:variant>
      <vt:variant>
        <vt:lpwstr/>
      </vt:variant>
      <vt:variant>
        <vt:lpwstr>_Toc129244008</vt:lpwstr>
      </vt:variant>
      <vt:variant>
        <vt:i4>1245244</vt:i4>
      </vt:variant>
      <vt:variant>
        <vt:i4>68</vt:i4>
      </vt:variant>
      <vt:variant>
        <vt:i4>0</vt:i4>
      </vt:variant>
      <vt:variant>
        <vt:i4>5</vt:i4>
      </vt:variant>
      <vt:variant>
        <vt:lpwstr/>
      </vt:variant>
      <vt:variant>
        <vt:lpwstr>_Toc129244007</vt:lpwstr>
      </vt:variant>
      <vt:variant>
        <vt:i4>1245244</vt:i4>
      </vt:variant>
      <vt:variant>
        <vt:i4>62</vt:i4>
      </vt:variant>
      <vt:variant>
        <vt:i4>0</vt:i4>
      </vt:variant>
      <vt:variant>
        <vt:i4>5</vt:i4>
      </vt:variant>
      <vt:variant>
        <vt:lpwstr/>
      </vt:variant>
      <vt:variant>
        <vt:lpwstr>_Toc129244006</vt:lpwstr>
      </vt:variant>
      <vt:variant>
        <vt:i4>1245244</vt:i4>
      </vt:variant>
      <vt:variant>
        <vt:i4>56</vt:i4>
      </vt:variant>
      <vt:variant>
        <vt:i4>0</vt:i4>
      </vt:variant>
      <vt:variant>
        <vt:i4>5</vt:i4>
      </vt:variant>
      <vt:variant>
        <vt:lpwstr/>
      </vt:variant>
      <vt:variant>
        <vt:lpwstr>_Toc129244005</vt:lpwstr>
      </vt:variant>
      <vt:variant>
        <vt:i4>1245244</vt:i4>
      </vt:variant>
      <vt:variant>
        <vt:i4>50</vt:i4>
      </vt:variant>
      <vt:variant>
        <vt:i4>0</vt:i4>
      </vt:variant>
      <vt:variant>
        <vt:i4>5</vt:i4>
      </vt:variant>
      <vt:variant>
        <vt:lpwstr/>
      </vt:variant>
      <vt:variant>
        <vt:lpwstr>_Toc129244004</vt:lpwstr>
      </vt:variant>
      <vt:variant>
        <vt:i4>1245244</vt:i4>
      </vt:variant>
      <vt:variant>
        <vt:i4>44</vt:i4>
      </vt:variant>
      <vt:variant>
        <vt:i4>0</vt:i4>
      </vt:variant>
      <vt:variant>
        <vt:i4>5</vt:i4>
      </vt:variant>
      <vt:variant>
        <vt:lpwstr/>
      </vt:variant>
      <vt:variant>
        <vt:lpwstr>_Toc129244003</vt:lpwstr>
      </vt:variant>
      <vt:variant>
        <vt:i4>1245244</vt:i4>
      </vt:variant>
      <vt:variant>
        <vt:i4>38</vt:i4>
      </vt:variant>
      <vt:variant>
        <vt:i4>0</vt:i4>
      </vt:variant>
      <vt:variant>
        <vt:i4>5</vt:i4>
      </vt:variant>
      <vt:variant>
        <vt:lpwstr/>
      </vt:variant>
      <vt:variant>
        <vt:lpwstr>_Toc129244002</vt:lpwstr>
      </vt:variant>
      <vt:variant>
        <vt:i4>1245244</vt:i4>
      </vt:variant>
      <vt:variant>
        <vt:i4>32</vt:i4>
      </vt:variant>
      <vt:variant>
        <vt:i4>0</vt:i4>
      </vt:variant>
      <vt:variant>
        <vt:i4>5</vt:i4>
      </vt:variant>
      <vt:variant>
        <vt:lpwstr/>
      </vt:variant>
      <vt:variant>
        <vt:lpwstr>_Toc129244001</vt:lpwstr>
      </vt:variant>
      <vt:variant>
        <vt:i4>1245244</vt:i4>
      </vt:variant>
      <vt:variant>
        <vt:i4>26</vt:i4>
      </vt:variant>
      <vt:variant>
        <vt:i4>0</vt:i4>
      </vt:variant>
      <vt:variant>
        <vt:i4>5</vt:i4>
      </vt:variant>
      <vt:variant>
        <vt:lpwstr/>
      </vt:variant>
      <vt:variant>
        <vt:lpwstr>_Toc129244000</vt:lpwstr>
      </vt:variant>
      <vt:variant>
        <vt:i4>1900597</vt:i4>
      </vt:variant>
      <vt:variant>
        <vt:i4>20</vt:i4>
      </vt:variant>
      <vt:variant>
        <vt:i4>0</vt:i4>
      </vt:variant>
      <vt:variant>
        <vt:i4>5</vt:i4>
      </vt:variant>
      <vt:variant>
        <vt:lpwstr/>
      </vt:variant>
      <vt:variant>
        <vt:lpwstr>_Toc129243999</vt:lpwstr>
      </vt:variant>
      <vt:variant>
        <vt:i4>1900597</vt:i4>
      </vt:variant>
      <vt:variant>
        <vt:i4>14</vt:i4>
      </vt:variant>
      <vt:variant>
        <vt:i4>0</vt:i4>
      </vt:variant>
      <vt:variant>
        <vt:i4>5</vt:i4>
      </vt:variant>
      <vt:variant>
        <vt:lpwstr/>
      </vt:variant>
      <vt:variant>
        <vt:lpwstr>_Toc129243998</vt:lpwstr>
      </vt:variant>
      <vt:variant>
        <vt:i4>1900597</vt:i4>
      </vt:variant>
      <vt:variant>
        <vt:i4>8</vt:i4>
      </vt:variant>
      <vt:variant>
        <vt:i4>0</vt:i4>
      </vt:variant>
      <vt:variant>
        <vt:i4>5</vt:i4>
      </vt:variant>
      <vt:variant>
        <vt:lpwstr/>
      </vt:variant>
      <vt:variant>
        <vt:lpwstr>_Toc129243997</vt:lpwstr>
      </vt:variant>
      <vt:variant>
        <vt:i4>4390981</vt:i4>
      </vt:variant>
      <vt:variant>
        <vt:i4>3</vt:i4>
      </vt:variant>
      <vt:variant>
        <vt:i4>0</vt:i4>
      </vt:variant>
      <vt:variant>
        <vt:i4>5</vt:i4>
      </vt:variant>
      <vt:variant>
        <vt:lpwstr>https://morningstarinvestments.com.au/fsg</vt:lpwstr>
      </vt:variant>
      <vt:variant>
        <vt:lpwstr/>
      </vt:variant>
      <vt:variant>
        <vt:i4>4390981</vt:i4>
      </vt:variant>
      <vt:variant>
        <vt:i4>0</vt:i4>
      </vt:variant>
      <vt:variant>
        <vt:i4>0</vt:i4>
      </vt:variant>
      <vt:variant>
        <vt:i4>5</vt:i4>
      </vt:variant>
      <vt:variant>
        <vt:lpwstr>https://morningstarinvestments.com.au/fsg</vt:lpwstr>
      </vt:variant>
      <vt:variant>
        <vt:lpwstr/>
      </vt:variant>
      <vt:variant>
        <vt:i4>5373996</vt:i4>
      </vt:variant>
      <vt:variant>
        <vt:i4>81</vt:i4>
      </vt:variant>
      <vt:variant>
        <vt:i4>0</vt:i4>
      </vt:variant>
      <vt:variant>
        <vt:i4>5</vt:i4>
      </vt:variant>
      <vt:variant>
        <vt:lpwstr>mailto:Dean.Daubaras@morningstar.com</vt:lpwstr>
      </vt:variant>
      <vt:variant>
        <vt:lpwstr/>
      </vt:variant>
      <vt:variant>
        <vt:i4>5373996</vt:i4>
      </vt:variant>
      <vt:variant>
        <vt:i4>78</vt:i4>
      </vt:variant>
      <vt:variant>
        <vt:i4>0</vt:i4>
      </vt:variant>
      <vt:variant>
        <vt:i4>5</vt:i4>
      </vt:variant>
      <vt:variant>
        <vt:lpwstr>mailto:Dean.Daubaras@morningstar.com</vt:lpwstr>
      </vt:variant>
      <vt:variant>
        <vt:lpwstr/>
      </vt:variant>
      <vt:variant>
        <vt:i4>5373996</vt:i4>
      </vt:variant>
      <vt:variant>
        <vt:i4>75</vt:i4>
      </vt:variant>
      <vt:variant>
        <vt:i4>0</vt:i4>
      </vt:variant>
      <vt:variant>
        <vt:i4>5</vt:i4>
      </vt:variant>
      <vt:variant>
        <vt:lpwstr>mailto:Dean.Daubaras@morningstar.com</vt:lpwstr>
      </vt:variant>
      <vt:variant>
        <vt:lpwstr/>
      </vt:variant>
      <vt:variant>
        <vt:i4>5373996</vt:i4>
      </vt:variant>
      <vt:variant>
        <vt:i4>72</vt:i4>
      </vt:variant>
      <vt:variant>
        <vt:i4>0</vt:i4>
      </vt:variant>
      <vt:variant>
        <vt:i4>5</vt:i4>
      </vt:variant>
      <vt:variant>
        <vt:lpwstr>mailto:Dean.Daubaras@morningstar.com</vt:lpwstr>
      </vt:variant>
      <vt:variant>
        <vt:lpwstr/>
      </vt:variant>
      <vt:variant>
        <vt:i4>5373996</vt:i4>
      </vt:variant>
      <vt:variant>
        <vt:i4>69</vt:i4>
      </vt:variant>
      <vt:variant>
        <vt:i4>0</vt:i4>
      </vt:variant>
      <vt:variant>
        <vt:i4>5</vt:i4>
      </vt:variant>
      <vt:variant>
        <vt:lpwstr>mailto:Dean.Daubaras@morningstar.com</vt:lpwstr>
      </vt:variant>
      <vt:variant>
        <vt:lpwstr/>
      </vt:variant>
      <vt:variant>
        <vt:i4>5373996</vt:i4>
      </vt:variant>
      <vt:variant>
        <vt:i4>66</vt:i4>
      </vt:variant>
      <vt:variant>
        <vt:i4>0</vt:i4>
      </vt:variant>
      <vt:variant>
        <vt:i4>5</vt:i4>
      </vt:variant>
      <vt:variant>
        <vt:lpwstr>mailto:Dean.Daubaras@morningstar.com</vt:lpwstr>
      </vt:variant>
      <vt:variant>
        <vt:lpwstr/>
      </vt:variant>
      <vt:variant>
        <vt:i4>5373996</vt:i4>
      </vt:variant>
      <vt:variant>
        <vt:i4>63</vt:i4>
      </vt:variant>
      <vt:variant>
        <vt:i4>0</vt:i4>
      </vt:variant>
      <vt:variant>
        <vt:i4>5</vt:i4>
      </vt:variant>
      <vt:variant>
        <vt:lpwstr>mailto:Dean.Daubaras@morningstar.com</vt:lpwstr>
      </vt:variant>
      <vt:variant>
        <vt:lpwstr/>
      </vt:variant>
      <vt:variant>
        <vt:i4>5373996</vt:i4>
      </vt:variant>
      <vt:variant>
        <vt:i4>60</vt:i4>
      </vt:variant>
      <vt:variant>
        <vt:i4>0</vt:i4>
      </vt:variant>
      <vt:variant>
        <vt:i4>5</vt:i4>
      </vt:variant>
      <vt:variant>
        <vt:lpwstr>mailto:Dean.Daubaras@morningstar.com</vt:lpwstr>
      </vt:variant>
      <vt:variant>
        <vt:lpwstr/>
      </vt:variant>
      <vt:variant>
        <vt:i4>5373996</vt:i4>
      </vt:variant>
      <vt:variant>
        <vt:i4>57</vt:i4>
      </vt:variant>
      <vt:variant>
        <vt:i4>0</vt:i4>
      </vt:variant>
      <vt:variant>
        <vt:i4>5</vt:i4>
      </vt:variant>
      <vt:variant>
        <vt:lpwstr>mailto:Dean.Daubaras@morningstar.com</vt:lpwstr>
      </vt:variant>
      <vt:variant>
        <vt:lpwstr/>
      </vt:variant>
      <vt:variant>
        <vt:i4>5373996</vt:i4>
      </vt:variant>
      <vt:variant>
        <vt:i4>54</vt:i4>
      </vt:variant>
      <vt:variant>
        <vt:i4>0</vt:i4>
      </vt:variant>
      <vt:variant>
        <vt:i4>5</vt:i4>
      </vt:variant>
      <vt:variant>
        <vt:lpwstr>mailto:Dean.Daubaras@morningstar.com</vt:lpwstr>
      </vt:variant>
      <vt:variant>
        <vt:lpwstr/>
      </vt:variant>
      <vt:variant>
        <vt:i4>5373996</vt:i4>
      </vt:variant>
      <vt:variant>
        <vt:i4>51</vt:i4>
      </vt:variant>
      <vt:variant>
        <vt:i4>0</vt:i4>
      </vt:variant>
      <vt:variant>
        <vt:i4>5</vt:i4>
      </vt:variant>
      <vt:variant>
        <vt:lpwstr>mailto:Dean.Daubaras@morningstar.com</vt:lpwstr>
      </vt:variant>
      <vt:variant>
        <vt:lpwstr/>
      </vt:variant>
      <vt:variant>
        <vt:i4>5373996</vt:i4>
      </vt:variant>
      <vt:variant>
        <vt:i4>48</vt:i4>
      </vt:variant>
      <vt:variant>
        <vt:i4>0</vt:i4>
      </vt:variant>
      <vt:variant>
        <vt:i4>5</vt:i4>
      </vt:variant>
      <vt:variant>
        <vt:lpwstr>mailto:Dean.Daubaras@morningstar.com</vt:lpwstr>
      </vt:variant>
      <vt:variant>
        <vt:lpwstr/>
      </vt:variant>
      <vt:variant>
        <vt:i4>5373996</vt:i4>
      </vt:variant>
      <vt:variant>
        <vt:i4>45</vt:i4>
      </vt:variant>
      <vt:variant>
        <vt:i4>0</vt:i4>
      </vt:variant>
      <vt:variant>
        <vt:i4>5</vt:i4>
      </vt:variant>
      <vt:variant>
        <vt:lpwstr>mailto:Dean.Daubaras@morningstar.com</vt:lpwstr>
      </vt:variant>
      <vt:variant>
        <vt:lpwstr/>
      </vt:variant>
      <vt:variant>
        <vt:i4>5373996</vt:i4>
      </vt:variant>
      <vt:variant>
        <vt:i4>42</vt:i4>
      </vt:variant>
      <vt:variant>
        <vt:i4>0</vt:i4>
      </vt:variant>
      <vt:variant>
        <vt:i4>5</vt:i4>
      </vt:variant>
      <vt:variant>
        <vt:lpwstr>mailto:Dean.Daubaras@morningstar.com</vt:lpwstr>
      </vt:variant>
      <vt:variant>
        <vt:lpwstr/>
      </vt:variant>
      <vt:variant>
        <vt:i4>5373996</vt:i4>
      </vt:variant>
      <vt:variant>
        <vt:i4>39</vt:i4>
      </vt:variant>
      <vt:variant>
        <vt:i4>0</vt:i4>
      </vt:variant>
      <vt:variant>
        <vt:i4>5</vt:i4>
      </vt:variant>
      <vt:variant>
        <vt:lpwstr>mailto:Dean.Daubaras@morningstar.com</vt:lpwstr>
      </vt:variant>
      <vt:variant>
        <vt:lpwstr/>
      </vt:variant>
      <vt:variant>
        <vt:i4>5373996</vt:i4>
      </vt:variant>
      <vt:variant>
        <vt:i4>36</vt:i4>
      </vt:variant>
      <vt:variant>
        <vt:i4>0</vt:i4>
      </vt:variant>
      <vt:variant>
        <vt:i4>5</vt:i4>
      </vt:variant>
      <vt:variant>
        <vt:lpwstr>mailto:Dean.Daubaras@morningstar.com</vt:lpwstr>
      </vt:variant>
      <vt:variant>
        <vt:lpwstr/>
      </vt:variant>
      <vt:variant>
        <vt:i4>5373996</vt:i4>
      </vt:variant>
      <vt:variant>
        <vt:i4>33</vt:i4>
      </vt:variant>
      <vt:variant>
        <vt:i4>0</vt:i4>
      </vt:variant>
      <vt:variant>
        <vt:i4>5</vt:i4>
      </vt:variant>
      <vt:variant>
        <vt:lpwstr>mailto:Dean.Daubaras@morningstar.com</vt:lpwstr>
      </vt:variant>
      <vt:variant>
        <vt:lpwstr/>
      </vt:variant>
      <vt:variant>
        <vt:i4>5373996</vt:i4>
      </vt:variant>
      <vt:variant>
        <vt:i4>30</vt:i4>
      </vt:variant>
      <vt:variant>
        <vt:i4>0</vt:i4>
      </vt:variant>
      <vt:variant>
        <vt:i4>5</vt:i4>
      </vt:variant>
      <vt:variant>
        <vt:lpwstr>mailto:Dean.Daubaras@morningstar.com</vt:lpwstr>
      </vt:variant>
      <vt:variant>
        <vt:lpwstr/>
      </vt:variant>
      <vt:variant>
        <vt:i4>5373996</vt:i4>
      </vt:variant>
      <vt:variant>
        <vt:i4>27</vt:i4>
      </vt:variant>
      <vt:variant>
        <vt:i4>0</vt:i4>
      </vt:variant>
      <vt:variant>
        <vt:i4>5</vt:i4>
      </vt:variant>
      <vt:variant>
        <vt:lpwstr>mailto:Dean.Daubaras@morningstar.com</vt:lpwstr>
      </vt:variant>
      <vt:variant>
        <vt:lpwstr/>
      </vt:variant>
      <vt:variant>
        <vt:i4>5373996</vt:i4>
      </vt:variant>
      <vt:variant>
        <vt:i4>24</vt:i4>
      </vt:variant>
      <vt:variant>
        <vt:i4>0</vt:i4>
      </vt:variant>
      <vt:variant>
        <vt:i4>5</vt:i4>
      </vt:variant>
      <vt:variant>
        <vt:lpwstr>mailto:Dean.Daubaras@morningstar.com</vt:lpwstr>
      </vt:variant>
      <vt:variant>
        <vt:lpwstr/>
      </vt:variant>
      <vt:variant>
        <vt:i4>5373996</vt:i4>
      </vt:variant>
      <vt:variant>
        <vt:i4>21</vt:i4>
      </vt:variant>
      <vt:variant>
        <vt:i4>0</vt:i4>
      </vt:variant>
      <vt:variant>
        <vt:i4>5</vt:i4>
      </vt:variant>
      <vt:variant>
        <vt:lpwstr>mailto:Dean.Daubaras@morningstar.com</vt:lpwstr>
      </vt:variant>
      <vt:variant>
        <vt:lpwstr/>
      </vt:variant>
      <vt:variant>
        <vt:i4>4390970</vt:i4>
      </vt:variant>
      <vt:variant>
        <vt:i4>18</vt:i4>
      </vt:variant>
      <vt:variant>
        <vt:i4>0</vt:i4>
      </vt:variant>
      <vt:variant>
        <vt:i4>5</vt:i4>
      </vt:variant>
      <vt:variant>
        <vt:lpwstr>mailto:Rick.DiCristoforo@morningstar.com</vt:lpwstr>
      </vt:variant>
      <vt:variant>
        <vt:lpwstr/>
      </vt:variant>
      <vt:variant>
        <vt:i4>5373996</vt:i4>
      </vt:variant>
      <vt:variant>
        <vt:i4>15</vt:i4>
      </vt:variant>
      <vt:variant>
        <vt:i4>0</vt:i4>
      </vt:variant>
      <vt:variant>
        <vt:i4>5</vt:i4>
      </vt:variant>
      <vt:variant>
        <vt:lpwstr>mailto:Dean.Daubaras@morningstar.com</vt:lpwstr>
      </vt:variant>
      <vt:variant>
        <vt:lpwstr/>
      </vt:variant>
      <vt:variant>
        <vt:i4>5373996</vt:i4>
      </vt:variant>
      <vt:variant>
        <vt:i4>12</vt:i4>
      </vt:variant>
      <vt:variant>
        <vt:i4>0</vt:i4>
      </vt:variant>
      <vt:variant>
        <vt:i4>5</vt:i4>
      </vt:variant>
      <vt:variant>
        <vt:lpwstr>mailto:Dean.Daubaras@morningstar.com</vt:lpwstr>
      </vt:variant>
      <vt:variant>
        <vt:lpwstr/>
      </vt:variant>
      <vt:variant>
        <vt:i4>5373996</vt:i4>
      </vt:variant>
      <vt:variant>
        <vt:i4>9</vt:i4>
      </vt:variant>
      <vt:variant>
        <vt:i4>0</vt:i4>
      </vt:variant>
      <vt:variant>
        <vt:i4>5</vt:i4>
      </vt:variant>
      <vt:variant>
        <vt:lpwstr>mailto:Dean.Daubaras@morningstar.com</vt:lpwstr>
      </vt:variant>
      <vt:variant>
        <vt:lpwstr/>
      </vt:variant>
      <vt:variant>
        <vt:i4>5373996</vt:i4>
      </vt:variant>
      <vt:variant>
        <vt:i4>6</vt:i4>
      </vt:variant>
      <vt:variant>
        <vt:i4>0</vt:i4>
      </vt:variant>
      <vt:variant>
        <vt:i4>5</vt:i4>
      </vt:variant>
      <vt:variant>
        <vt:lpwstr>mailto:Dean.Daubaras@morningstar.com</vt:lpwstr>
      </vt:variant>
      <vt:variant>
        <vt:lpwstr/>
      </vt:variant>
      <vt:variant>
        <vt:i4>5373996</vt:i4>
      </vt:variant>
      <vt:variant>
        <vt:i4>3</vt:i4>
      </vt:variant>
      <vt:variant>
        <vt:i4>0</vt:i4>
      </vt:variant>
      <vt:variant>
        <vt:i4>5</vt:i4>
      </vt:variant>
      <vt:variant>
        <vt:lpwstr>mailto:Dean.Daubaras@morningstar.com</vt:lpwstr>
      </vt:variant>
      <vt:variant>
        <vt:lpwstr/>
      </vt:variant>
      <vt:variant>
        <vt:i4>5373996</vt:i4>
      </vt:variant>
      <vt:variant>
        <vt:i4>0</vt:i4>
      </vt:variant>
      <vt:variant>
        <vt:i4>0</vt:i4>
      </vt:variant>
      <vt:variant>
        <vt:i4>5</vt:i4>
      </vt:variant>
      <vt:variant>
        <vt:lpwstr>mailto:Dean.Daubaras@morningstar.com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Daubaras</dc:creator>
  <cp:keywords/>
  <dc:description/>
  <cp:lastModifiedBy>Dean Daubaras</cp:lastModifiedBy>
  <cp:revision>2</cp:revision>
  <dcterms:created xsi:type="dcterms:W3CDTF">2023-05-31T03:10:00Z</dcterms:created>
  <dcterms:modified xsi:type="dcterms:W3CDTF">2023-05-31T03:10:00Z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0x010100757970E8471219469166A1E6C7CE3651</vt:lpwstr>
  </property>
</Properties>
</file>