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6861" w14:textId="22C7E2A3" w:rsidR="004D480E" w:rsidRPr="00100242" w:rsidRDefault="00234A0E" w:rsidP="00234A0E">
      <w:pPr>
        <w:spacing w:after="160" w:line="259" w:lineRule="auto"/>
        <w:rPr>
          <w:rStyle w:val="A4"/>
          <w:rFonts w:ascii="Morningstar 1" w:eastAsia="Calibri" w:hAnsi="Morningstar 1" w:cs="Times New Roman"/>
          <w:color w:val="auto"/>
          <w:sz w:val="22"/>
          <w:szCs w:val="22"/>
        </w:rPr>
      </w:pPr>
      <w:bookmarkStart w:id="0" w:name="_Hlk489017090"/>
      <w:r w:rsidRPr="00100242">
        <w:rPr>
          <w:rFonts w:ascii="Morningstar 1" w:eastAsia="Calibri" w:hAnsi="Morningstar 1"/>
          <w:sz w:val="22"/>
          <w:szCs w:val="22"/>
        </w:rPr>
        <w:t xml:space="preserve">[Scroll down to find the full range of portfolios, by risk profile] </w:t>
      </w:r>
      <w:r w:rsidR="0047021C" w:rsidRPr="00100242">
        <w:rPr>
          <w:rStyle w:val="A4"/>
          <w:rFonts w:ascii="Morningstar 1" w:eastAsia="Times New Roman" w:hAnsi="Morningstar 1"/>
          <w:noProof/>
          <w:sz w:val="22"/>
          <w:szCs w:val="22"/>
          <w:lang w:eastAsia="en-US"/>
        </w:rPr>
        <mc:AlternateContent>
          <mc:Choice Requires="wps">
            <w:drawing>
              <wp:anchor distT="0" distB="0" distL="114300" distR="114300" simplePos="0" relativeHeight="251658241" behindDoc="0" locked="0" layoutInCell="1" allowOverlap="1" wp14:anchorId="41524001" wp14:editId="74A68D0C">
                <wp:simplePos x="0" y="0"/>
                <wp:positionH relativeFrom="margin">
                  <wp:align>left</wp:align>
                </wp:positionH>
                <wp:positionV relativeFrom="paragraph">
                  <wp:posOffset>243914</wp:posOffset>
                </wp:positionV>
                <wp:extent cx="6475862"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64758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4="http://schemas.microsoft.com/office/drawing/2010/main" xmlns:w16du="http://schemas.microsoft.com/office/word/2023/wordml/word16du">
            <w:pict w14:anchorId="5163E792">
              <v:line id="Straight Connector 16" style="position:absolute;flip:y;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from="0,19.2pt" to="509.9pt,19.2pt" w14:anchorId="35E6C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">
                <w10:wrap anchorx="margin"/>
              </v:line>
            </w:pict>
          </mc:Fallback>
        </mc:AlternateContent>
      </w:r>
    </w:p>
    <w:p w14:paraId="02C305F2" w14:textId="5A74EC79" w:rsidR="002015DD" w:rsidRPr="00100242" w:rsidRDefault="00B370FF" w:rsidP="002015DD">
      <w:pPr>
        <w:jc w:val="both"/>
        <w:outlineLvl w:val="0"/>
        <w:rPr>
          <w:rFonts w:ascii="Morningstar 1" w:eastAsia="Times" w:hAnsi="Morningstar 1"/>
          <w:b/>
          <w:color w:val="FF0000"/>
          <w:sz w:val="20"/>
          <w:szCs w:val="16"/>
          <w:lang w:eastAsia="en-US"/>
        </w:rPr>
      </w:pPr>
      <w:r w:rsidRPr="00100242">
        <w:rPr>
          <w:rFonts w:ascii="Morningstar 1" w:eastAsia="Times" w:hAnsi="Morningstar 1"/>
          <w:b/>
          <w:color w:val="FF0000"/>
          <w:sz w:val="20"/>
          <w:szCs w:val="16"/>
          <w:lang w:eastAsia="en-US"/>
        </w:rPr>
        <w:t>This document is intended to support your communication and service proposition to your clients. It has been produced by Morningstar Investment Management Australia with a deliberately light tone and structure. Note that these are guidance paragraphs only, with you being free to add, remove or amend any wording, as you see fit. As such, it is not guaranteed to meet the expectations of the regulators or your internal compliance requirements. Regardless, please bear in mind that you, as financial adviser, are ultimately responsible for the accuracy and relevance of your communications to your clients.</w:t>
      </w:r>
    </w:p>
    <w:p w14:paraId="0EC7BE21" w14:textId="0EE3DC8C" w:rsidR="002015DD" w:rsidRPr="00100242" w:rsidRDefault="002E54A1" w:rsidP="002015DD">
      <w:pPr>
        <w:jc w:val="both"/>
        <w:outlineLvl w:val="0"/>
        <w:rPr>
          <w:rFonts w:ascii="Morningstar 1" w:eastAsia="Times" w:hAnsi="Morningstar 1"/>
          <w:color w:val="221E1F"/>
          <w:sz w:val="20"/>
          <w:szCs w:val="20"/>
        </w:rPr>
      </w:pPr>
      <w:r w:rsidRPr="00100242">
        <w:rPr>
          <w:rFonts w:ascii="Morningstar 1" w:eastAsia="Times" w:hAnsi="Morningstar 1"/>
          <w:noProof/>
          <w:color w:val="221E1F"/>
          <w:sz w:val="20"/>
          <w:szCs w:val="20"/>
        </w:rPr>
        <mc:AlternateContent>
          <mc:Choice Requires="wps">
            <w:drawing>
              <wp:anchor distT="0" distB="0" distL="114300" distR="114300" simplePos="0" relativeHeight="251658240" behindDoc="0" locked="0" layoutInCell="1" allowOverlap="1" wp14:anchorId="56908F3F" wp14:editId="345D5775">
                <wp:simplePos x="0" y="0"/>
                <wp:positionH relativeFrom="column">
                  <wp:posOffset>14321</wp:posOffset>
                </wp:positionH>
                <wp:positionV relativeFrom="paragraph">
                  <wp:posOffset>123066</wp:posOffset>
                </wp:positionV>
                <wp:extent cx="6475862"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64758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a14="http://schemas.microsoft.com/office/drawing/2010/main" xmlns:w16du="http://schemas.microsoft.com/office/word/2023/wordml/word16du">
            <w:pict w14:anchorId="7D10F216">
              <v:line id="Straight Connector 11"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15pt,9.7pt" to="511.05pt,9.7pt" w14:anchorId="527E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"/>
            </w:pict>
          </mc:Fallback>
        </mc:AlternateContent>
      </w:r>
    </w:p>
    <w:bookmarkEnd w:id="0"/>
    <w:p w14:paraId="21D89CFB" w14:textId="55872C5F" w:rsidR="009728FB" w:rsidRPr="009C6816" w:rsidRDefault="0030363F" w:rsidP="009728FB">
      <w:pPr>
        <w:spacing w:after="160" w:line="259" w:lineRule="auto"/>
        <w:rPr>
          <w:rFonts w:ascii="Morningstar 1" w:eastAsia="Calibri" w:hAnsi="Morningstar 1"/>
          <w:b/>
          <w:bCs/>
          <w:color w:val="FF0000"/>
          <w:sz w:val="22"/>
          <w:szCs w:val="22"/>
        </w:rPr>
      </w:pPr>
      <w:r w:rsidRPr="009C6816">
        <w:rPr>
          <w:rFonts w:ascii="Morningstar 1" w:eastAsia="Calibri" w:hAnsi="Morningstar 1"/>
          <w:b/>
          <w:bCs/>
          <w:color w:val="FF0000"/>
          <w:sz w:val="22"/>
          <w:szCs w:val="22"/>
        </w:rPr>
        <w:t xml:space="preserve">All </w:t>
      </w:r>
      <w:r w:rsidR="009728FB" w:rsidRPr="009C6816">
        <w:rPr>
          <w:rFonts w:ascii="Morningstar 1" w:eastAsia="Calibri" w:hAnsi="Morningstar 1"/>
          <w:b/>
          <w:bCs/>
          <w:color w:val="FF0000"/>
          <w:sz w:val="22"/>
          <w:szCs w:val="22"/>
        </w:rPr>
        <w:t xml:space="preserve">Growth </w:t>
      </w:r>
      <w:r w:rsidRPr="009C6816">
        <w:rPr>
          <w:rFonts w:ascii="Morningstar 1" w:eastAsia="Calibri" w:hAnsi="Morningstar 1"/>
          <w:b/>
          <w:bCs/>
          <w:color w:val="FF0000"/>
          <w:sz w:val="22"/>
          <w:szCs w:val="22"/>
        </w:rPr>
        <w:t xml:space="preserve"> </w:t>
      </w:r>
    </w:p>
    <w:p w14:paraId="0E0B1564" w14:textId="77777777" w:rsidR="009728FB" w:rsidRPr="009C6816" w:rsidRDefault="009728FB" w:rsidP="00914849">
      <w:pPr>
        <w:spacing w:after="120" w:line="259" w:lineRule="auto"/>
        <w:rPr>
          <w:rFonts w:ascii="Morningstar 1" w:eastAsia="Calibri" w:hAnsi="Morningstar 1"/>
          <w:sz w:val="22"/>
          <w:szCs w:val="22"/>
        </w:rPr>
      </w:pPr>
      <w:r w:rsidRPr="009C6816">
        <w:rPr>
          <w:rFonts w:ascii="Morningstar 1" w:eastAsia="Calibri" w:hAnsi="Morningstar 1"/>
          <w:sz w:val="22"/>
          <w:szCs w:val="22"/>
        </w:rPr>
        <w:t>Dear Client,</w:t>
      </w:r>
    </w:p>
    <w:p w14:paraId="6796A119" w14:textId="77777777" w:rsidR="006107F8" w:rsidRPr="009C6816" w:rsidRDefault="006107F8" w:rsidP="006107F8">
      <w:pPr>
        <w:pStyle w:val="ListParagraph"/>
        <w:spacing w:after="120"/>
        <w:ind w:left="0"/>
        <w:contextualSpacing w:val="0"/>
        <w:rPr>
          <w:rFonts w:ascii="Morningstar 1" w:hAnsi="Morningstar 1"/>
          <w:lang w:val="en-AU"/>
        </w:rPr>
      </w:pPr>
      <w:r w:rsidRPr="002F762E">
        <w:rPr>
          <w:rFonts w:ascii="Morningstar 1" w:hAnsi="Morningstar 1"/>
          <w:lang w:val="en-AU"/>
        </w:rPr>
        <w:t xml:space="preserve">Morningstar has updated the Morningstar Medalist Core Portfolios in April. These changes aim to reflect </w:t>
      </w:r>
      <w:r>
        <w:rPr>
          <w:rFonts w:ascii="Morningstar 1" w:hAnsi="Morningstar 1"/>
          <w:lang w:val="en-AU"/>
        </w:rPr>
        <w:t>their</w:t>
      </w:r>
      <w:r w:rsidRPr="002F762E">
        <w:rPr>
          <w:rFonts w:ascii="Morningstar 1" w:hAnsi="Morningstar 1"/>
          <w:lang w:val="en-AU"/>
        </w:rPr>
        <w:t xml:space="preserve"> top ideas in terms of asset allocation, manager selection, and manager allocation. </w:t>
      </w:r>
    </w:p>
    <w:tbl>
      <w:tblPr>
        <w:tblW w:w="7382" w:type="dxa"/>
        <w:jc w:val="center"/>
        <w:tblLook w:val="04A0" w:firstRow="1" w:lastRow="0" w:firstColumn="1" w:lastColumn="0" w:noHBand="0" w:noVBand="1"/>
      </w:tblPr>
      <w:tblGrid>
        <w:gridCol w:w="4740"/>
        <w:gridCol w:w="2339"/>
        <w:gridCol w:w="303"/>
      </w:tblGrid>
      <w:tr w:rsidR="0006606D" w:rsidRPr="003F2FAD" w14:paraId="41338D54" w14:textId="77777777" w:rsidTr="00AE19BD">
        <w:trPr>
          <w:gridAfter w:val="1"/>
          <w:wAfter w:w="303" w:type="dxa"/>
          <w:trHeight w:val="517"/>
          <w:jc w:val="center"/>
        </w:trPr>
        <w:tc>
          <w:tcPr>
            <w:tcW w:w="4740" w:type="dxa"/>
            <w:vMerge w:val="restart"/>
            <w:tcBorders>
              <w:top w:val="single" w:sz="8" w:space="0" w:color="auto"/>
              <w:left w:val="nil"/>
              <w:bottom w:val="single" w:sz="8" w:space="0" w:color="000000"/>
              <w:right w:val="nil"/>
            </w:tcBorders>
            <w:shd w:val="clear" w:color="000000" w:fill="D9D9D9"/>
            <w:vAlign w:val="center"/>
            <w:hideMark/>
          </w:tcPr>
          <w:p w14:paraId="5A7F22E4" w14:textId="77777777" w:rsidR="0006606D" w:rsidRPr="003F2FAD" w:rsidRDefault="0006606D">
            <w:pPr>
              <w:rPr>
                <w:rFonts w:ascii="Morningstar 1" w:eastAsia="Times New Roman" w:hAnsi="Morningstar 1" w:cs="Calibri"/>
                <w:b/>
                <w:bCs/>
                <w:color w:val="000000"/>
                <w:sz w:val="22"/>
                <w:szCs w:val="22"/>
                <w:lang w:eastAsia="en-AU"/>
              </w:rPr>
            </w:pPr>
            <w:r w:rsidRPr="003F2FAD">
              <w:rPr>
                <w:rFonts w:ascii="Morningstar 1" w:eastAsia="Times New Roman" w:hAnsi="Morningstar 1" w:cs="Calibri"/>
                <w:b/>
                <w:bCs/>
                <w:color w:val="000000"/>
                <w:sz w:val="22"/>
                <w:szCs w:val="22"/>
                <w:lang w:eastAsia="en-AU"/>
              </w:rPr>
              <w:t xml:space="preserve">Security </w:t>
            </w:r>
          </w:p>
        </w:tc>
        <w:tc>
          <w:tcPr>
            <w:tcW w:w="2339" w:type="dxa"/>
            <w:vMerge w:val="restart"/>
            <w:tcBorders>
              <w:top w:val="single" w:sz="8" w:space="0" w:color="auto"/>
              <w:left w:val="nil"/>
              <w:bottom w:val="single" w:sz="8" w:space="0" w:color="000000"/>
              <w:right w:val="nil"/>
            </w:tcBorders>
            <w:shd w:val="clear" w:color="000000" w:fill="D9D9D9"/>
            <w:vAlign w:val="center"/>
            <w:hideMark/>
          </w:tcPr>
          <w:p w14:paraId="28A4468E" w14:textId="20B2D37C" w:rsidR="0006606D" w:rsidRPr="003F2FAD" w:rsidRDefault="0006606D">
            <w:pPr>
              <w:jc w:val="center"/>
              <w:rPr>
                <w:rFonts w:ascii="Morningstar 1" w:eastAsia="Times New Roman" w:hAnsi="Morningstar 1" w:cs="Calibri"/>
                <w:b/>
                <w:bCs/>
                <w:color w:val="000000"/>
                <w:sz w:val="22"/>
                <w:szCs w:val="22"/>
                <w:lang w:eastAsia="en-AU"/>
              </w:rPr>
            </w:pPr>
            <w:r w:rsidRPr="003F2FAD">
              <w:rPr>
                <w:rFonts w:ascii="Morningstar 1" w:eastAsia="Times New Roman" w:hAnsi="Morningstar 1" w:cs="Calibri"/>
                <w:b/>
                <w:bCs/>
                <w:color w:val="000000"/>
                <w:sz w:val="22"/>
                <w:szCs w:val="22"/>
                <w:lang w:eastAsia="en-AU"/>
              </w:rPr>
              <w:t xml:space="preserve">Portfolio Action </w:t>
            </w:r>
          </w:p>
        </w:tc>
      </w:tr>
      <w:tr w:rsidR="0006606D" w:rsidRPr="003F2FAD" w14:paraId="5B0CE5C4" w14:textId="77777777" w:rsidTr="00AE19BD">
        <w:trPr>
          <w:trHeight w:val="59"/>
          <w:jc w:val="center"/>
        </w:trPr>
        <w:tc>
          <w:tcPr>
            <w:tcW w:w="4740" w:type="dxa"/>
            <w:vMerge/>
            <w:tcBorders>
              <w:top w:val="single" w:sz="8" w:space="0" w:color="auto"/>
              <w:left w:val="nil"/>
              <w:bottom w:val="single" w:sz="8" w:space="0" w:color="000000"/>
              <w:right w:val="nil"/>
            </w:tcBorders>
            <w:vAlign w:val="center"/>
            <w:hideMark/>
          </w:tcPr>
          <w:p w14:paraId="71C19DE3" w14:textId="77777777" w:rsidR="0006606D" w:rsidRPr="003F2FAD" w:rsidRDefault="0006606D">
            <w:pPr>
              <w:rPr>
                <w:rFonts w:ascii="Morningstar 1" w:eastAsia="Times New Roman" w:hAnsi="Morningstar 1" w:cs="Calibri"/>
                <w:b/>
                <w:bCs/>
                <w:color w:val="000000"/>
                <w:sz w:val="22"/>
                <w:szCs w:val="22"/>
                <w:lang w:eastAsia="en-AU"/>
              </w:rPr>
            </w:pPr>
          </w:p>
        </w:tc>
        <w:tc>
          <w:tcPr>
            <w:tcW w:w="2339" w:type="dxa"/>
            <w:vMerge/>
            <w:tcBorders>
              <w:top w:val="single" w:sz="8" w:space="0" w:color="auto"/>
              <w:left w:val="nil"/>
              <w:bottom w:val="single" w:sz="8" w:space="0" w:color="000000"/>
              <w:right w:val="nil"/>
            </w:tcBorders>
            <w:vAlign w:val="center"/>
            <w:hideMark/>
          </w:tcPr>
          <w:p w14:paraId="3CAC933A" w14:textId="77777777" w:rsidR="0006606D" w:rsidRPr="003F2FAD" w:rsidRDefault="0006606D">
            <w:pPr>
              <w:rPr>
                <w:rFonts w:ascii="Morningstar 1" w:eastAsia="Times New Roman" w:hAnsi="Morningstar 1" w:cs="Calibri"/>
                <w:b/>
                <w:bCs/>
                <w:color w:val="000000"/>
                <w:sz w:val="22"/>
                <w:szCs w:val="22"/>
                <w:lang w:eastAsia="en-AU"/>
              </w:rPr>
            </w:pPr>
          </w:p>
        </w:tc>
        <w:tc>
          <w:tcPr>
            <w:tcW w:w="303" w:type="dxa"/>
            <w:tcBorders>
              <w:top w:val="nil"/>
              <w:left w:val="nil"/>
              <w:bottom w:val="nil"/>
              <w:right w:val="nil"/>
            </w:tcBorders>
            <w:shd w:val="clear" w:color="auto" w:fill="auto"/>
            <w:noWrap/>
            <w:vAlign w:val="bottom"/>
            <w:hideMark/>
          </w:tcPr>
          <w:p w14:paraId="4398E16D" w14:textId="77777777" w:rsidR="0006606D" w:rsidRPr="003F2FAD" w:rsidRDefault="0006606D">
            <w:pPr>
              <w:jc w:val="center"/>
              <w:rPr>
                <w:rFonts w:ascii="Morningstar 1" w:eastAsia="Times New Roman" w:hAnsi="Morningstar 1" w:cs="Calibri"/>
                <w:b/>
                <w:bCs/>
                <w:color w:val="000000"/>
                <w:sz w:val="22"/>
                <w:szCs w:val="22"/>
                <w:lang w:eastAsia="en-AU"/>
              </w:rPr>
            </w:pPr>
          </w:p>
        </w:tc>
      </w:tr>
      <w:tr w:rsidR="0006606D" w:rsidRPr="003F2FAD" w14:paraId="5C2A516F" w14:textId="77777777" w:rsidTr="00AE19BD">
        <w:trPr>
          <w:trHeight w:val="288"/>
          <w:jc w:val="center"/>
        </w:trPr>
        <w:tc>
          <w:tcPr>
            <w:tcW w:w="4740" w:type="dxa"/>
            <w:tcBorders>
              <w:top w:val="nil"/>
              <w:left w:val="nil"/>
              <w:bottom w:val="single" w:sz="8" w:space="0" w:color="auto"/>
              <w:right w:val="nil"/>
            </w:tcBorders>
            <w:shd w:val="clear" w:color="000000" w:fill="F2F2F2"/>
            <w:vAlign w:val="center"/>
            <w:hideMark/>
          </w:tcPr>
          <w:p w14:paraId="18D781DF" w14:textId="77777777" w:rsidR="0006606D" w:rsidRPr="003F2FAD" w:rsidRDefault="0006606D">
            <w:pPr>
              <w:rPr>
                <w:rFonts w:ascii="Morningstar 1" w:eastAsia="Times New Roman" w:hAnsi="Morningstar 1" w:cs="Calibri"/>
                <w:b/>
                <w:bCs/>
                <w:color w:val="000000"/>
                <w:sz w:val="22"/>
                <w:szCs w:val="22"/>
                <w:lang w:eastAsia="en-AU"/>
              </w:rPr>
            </w:pPr>
            <w:r w:rsidRPr="003F2FAD">
              <w:rPr>
                <w:rFonts w:ascii="Morningstar 1" w:eastAsia="Times New Roman" w:hAnsi="Morningstar 1" w:cs="Calibri"/>
                <w:b/>
                <w:bCs/>
                <w:color w:val="000000"/>
                <w:sz w:val="22"/>
                <w:szCs w:val="22"/>
                <w:lang w:eastAsia="en-AU"/>
              </w:rPr>
              <w:t>Australian Shares</w:t>
            </w:r>
          </w:p>
        </w:tc>
        <w:tc>
          <w:tcPr>
            <w:tcW w:w="2339" w:type="dxa"/>
            <w:tcBorders>
              <w:top w:val="nil"/>
              <w:left w:val="nil"/>
              <w:bottom w:val="single" w:sz="8" w:space="0" w:color="auto"/>
              <w:right w:val="nil"/>
            </w:tcBorders>
            <w:shd w:val="clear" w:color="000000" w:fill="F2F2F2"/>
            <w:vAlign w:val="center"/>
            <w:hideMark/>
          </w:tcPr>
          <w:p w14:paraId="2117864C" w14:textId="77777777" w:rsidR="0006606D" w:rsidRPr="003F2FAD" w:rsidRDefault="0006606D">
            <w:pPr>
              <w:jc w:val="center"/>
              <w:rPr>
                <w:rFonts w:ascii="Morningstar 1" w:eastAsia="Times New Roman" w:hAnsi="Morningstar 1" w:cs="Calibri"/>
                <w:b/>
                <w:bCs/>
                <w:color w:val="00B050"/>
                <w:sz w:val="22"/>
                <w:szCs w:val="22"/>
                <w:lang w:eastAsia="en-AU"/>
              </w:rPr>
            </w:pPr>
            <w:r w:rsidRPr="003F2FAD">
              <w:rPr>
                <w:rFonts w:ascii="Morningstar 1" w:eastAsia="Times New Roman" w:hAnsi="Morningstar 1" w:cs="Calibri"/>
                <w:b/>
                <w:bCs/>
                <w:color w:val="00B050"/>
                <w:sz w:val="22"/>
                <w:szCs w:val="22"/>
                <w:lang w:eastAsia="en-AU"/>
              </w:rPr>
              <w:t> </w:t>
            </w:r>
          </w:p>
        </w:tc>
        <w:tc>
          <w:tcPr>
            <w:tcW w:w="303" w:type="dxa"/>
            <w:vAlign w:val="center"/>
            <w:hideMark/>
          </w:tcPr>
          <w:p w14:paraId="1E87D605" w14:textId="77777777" w:rsidR="0006606D" w:rsidRPr="003F2FAD" w:rsidRDefault="0006606D">
            <w:pPr>
              <w:rPr>
                <w:rFonts w:ascii="Morningstar 1" w:eastAsia="Times New Roman" w:hAnsi="Morningstar 1"/>
                <w:sz w:val="22"/>
                <w:szCs w:val="22"/>
                <w:lang w:eastAsia="en-AU"/>
              </w:rPr>
            </w:pPr>
          </w:p>
        </w:tc>
      </w:tr>
      <w:tr w:rsidR="0006606D" w:rsidRPr="003F2FAD" w14:paraId="15BBCAD6" w14:textId="77777777" w:rsidTr="00AE19BD">
        <w:trPr>
          <w:trHeight w:val="288"/>
          <w:jc w:val="center"/>
        </w:trPr>
        <w:tc>
          <w:tcPr>
            <w:tcW w:w="4740" w:type="dxa"/>
            <w:tcBorders>
              <w:top w:val="nil"/>
              <w:left w:val="nil"/>
              <w:bottom w:val="single" w:sz="8" w:space="0" w:color="auto"/>
              <w:right w:val="nil"/>
            </w:tcBorders>
            <w:shd w:val="clear" w:color="auto" w:fill="auto"/>
            <w:noWrap/>
            <w:vAlign w:val="center"/>
            <w:hideMark/>
          </w:tcPr>
          <w:p w14:paraId="5E830470" w14:textId="77777777" w:rsidR="0006606D" w:rsidRPr="003F2FAD" w:rsidRDefault="0006606D">
            <w:pPr>
              <w:rPr>
                <w:rFonts w:ascii="Morningstar 1" w:eastAsia="Times New Roman" w:hAnsi="Morningstar 1" w:cs="Calibri"/>
                <w:color w:val="000000"/>
                <w:sz w:val="22"/>
                <w:szCs w:val="22"/>
                <w:lang w:eastAsia="en-AU"/>
              </w:rPr>
            </w:pPr>
            <w:r w:rsidRPr="003F2FAD">
              <w:rPr>
                <w:rFonts w:ascii="Morningstar 1" w:eastAsia="Times New Roman" w:hAnsi="Morningstar 1" w:cs="Calibri"/>
                <w:color w:val="000000"/>
                <w:sz w:val="22"/>
                <w:szCs w:val="22"/>
                <w:lang w:eastAsia="en-AU"/>
              </w:rPr>
              <w:t>Fidelity Australian Equities</w:t>
            </w:r>
          </w:p>
        </w:tc>
        <w:tc>
          <w:tcPr>
            <w:tcW w:w="2339" w:type="dxa"/>
            <w:tcBorders>
              <w:top w:val="nil"/>
              <w:left w:val="nil"/>
              <w:bottom w:val="single" w:sz="8" w:space="0" w:color="auto"/>
              <w:right w:val="nil"/>
            </w:tcBorders>
            <w:shd w:val="clear" w:color="auto" w:fill="auto"/>
            <w:vAlign w:val="center"/>
            <w:hideMark/>
          </w:tcPr>
          <w:p w14:paraId="4B04A33A" w14:textId="48DBDB2F" w:rsidR="0006606D" w:rsidRPr="003F2FAD" w:rsidRDefault="0006606D">
            <w:pPr>
              <w:jc w:val="center"/>
              <w:rPr>
                <w:rFonts w:ascii="Morningstar 1" w:eastAsia="Times New Roman" w:hAnsi="Morningstar 1" w:cs="Calibri"/>
                <w:b/>
                <w:bCs/>
                <w:color w:val="00B050"/>
                <w:sz w:val="22"/>
                <w:szCs w:val="22"/>
                <w:lang w:eastAsia="en-AU"/>
              </w:rPr>
            </w:pPr>
            <w:r w:rsidRPr="003F2FAD">
              <w:rPr>
                <w:rFonts w:ascii="Morningstar 1" w:eastAsia="Times New Roman" w:hAnsi="Morningstar 1" w:cs="Calibri"/>
                <w:b/>
                <w:bCs/>
                <w:color w:val="00B050"/>
                <w:sz w:val="22"/>
                <w:szCs w:val="22"/>
                <w:lang w:eastAsia="en-AU"/>
              </w:rPr>
              <w:t>Increase</w:t>
            </w:r>
          </w:p>
        </w:tc>
        <w:tc>
          <w:tcPr>
            <w:tcW w:w="303" w:type="dxa"/>
            <w:vAlign w:val="center"/>
            <w:hideMark/>
          </w:tcPr>
          <w:p w14:paraId="0BF6CA4E" w14:textId="77777777" w:rsidR="0006606D" w:rsidRPr="003F2FAD" w:rsidRDefault="0006606D">
            <w:pPr>
              <w:rPr>
                <w:rFonts w:ascii="Morningstar 1" w:eastAsia="Times New Roman" w:hAnsi="Morningstar 1"/>
                <w:sz w:val="22"/>
                <w:szCs w:val="22"/>
                <w:lang w:eastAsia="en-AU"/>
              </w:rPr>
            </w:pPr>
          </w:p>
        </w:tc>
      </w:tr>
      <w:tr w:rsidR="0006606D" w:rsidRPr="003F2FAD" w14:paraId="1760A3E9" w14:textId="77777777" w:rsidTr="00AE19BD">
        <w:trPr>
          <w:trHeight w:val="288"/>
          <w:jc w:val="center"/>
        </w:trPr>
        <w:tc>
          <w:tcPr>
            <w:tcW w:w="4740" w:type="dxa"/>
            <w:tcBorders>
              <w:top w:val="nil"/>
              <w:left w:val="nil"/>
              <w:bottom w:val="single" w:sz="8" w:space="0" w:color="auto"/>
              <w:right w:val="nil"/>
            </w:tcBorders>
            <w:shd w:val="clear" w:color="auto" w:fill="auto"/>
            <w:noWrap/>
            <w:vAlign w:val="center"/>
            <w:hideMark/>
          </w:tcPr>
          <w:p w14:paraId="60612591" w14:textId="77777777" w:rsidR="0006606D" w:rsidRPr="003F2FAD" w:rsidRDefault="0006606D">
            <w:pPr>
              <w:rPr>
                <w:rFonts w:ascii="Morningstar 1" w:eastAsia="Times New Roman" w:hAnsi="Morningstar 1" w:cs="Calibri"/>
                <w:color w:val="000000"/>
                <w:sz w:val="22"/>
                <w:szCs w:val="22"/>
                <w:lang w:eastAsia="en-AU"/>
              </w:rPr>
            </w:pPr>
            <w:r w:rsidRPr="003F2FAD">
              <w:rPr>
                <w:rFonts w:ascii="Morningstar 1" w:eastAsia="Times New Roman" w:hAnsi="Morningstar 1" w:cs="Calibri"/>
                <w:color w:val="000000"/>
                <w:sz w:val="22"/>
                <w:szCs w:val="22"/>
                <w:lang w:eastAsia="en-AU"/>
              </w:rPr>
              <w:t>DNR Capital Australian Emerging Coms</w:t>
            </w:r>
          </w:p>
        </w:tc>
        <w:tc>
          <w:tcPr>
            <w:tcW w:w="2339" w:type="dxa"/>
            <w:tcBorders>
              <w:top w:val="nil"/>
              <w:left w:val="nil"/>
              <w:bottom w:val="single" w:sz="8" w:space="0" w:color="auto"/>
              <w:right w:val="nil"/>
            </w:tcBorders>
            <w:shd w:val="clear" w:color="auto" w:fill="auto"/>
            <w:vAlign w:val="center"/>
            <w:hideMark/>
          </w:tcPr>
          <w:p w14:paraId="494FDB3C" w14:textId="1213966E" w:rsidR="0006606D" w:rsidRPr="003F2FAD" w:rsidRDefault="0006606D">
            <w:pPr>
              <w:jc w:val="center"/>
              <w:rPr>
                <w:rFonts w:ascii="Morningstar 1" w:eastAsia="Times New Roman" w:hAnsi="Morningstar 1" w:cs="Calibri"/>
                <w:b/>
                <w:bCs/>
                <w:color w:val="00B050"/>
                <w:sz w:val="22"/>
                <w:szCs w:val="22"/>
                <w:lang w:eastAsia="en-AU"/>
              </w:rPr>
            </w:pPr>
            <w:r w:rsidRPr="003F2FAD">
              <w:rPr>
                <w:rFonts w:ascii="Morningstar 1" w:eastAsia="Times New Roman" w:hAnsi="Morningstar 1" w:cs="Calibri"/>
                <w:b/>
                <w:bCs/>
                <w:color w:val="00B050"/>
                <w:sz w:val="22"/>
                <w:szCs w:val="22"/>
                <w:lang w:eastAsia="en-AU"/>
              </w:rPr>
              <w:t>Increase</w:t>
            </w:r>
          </w:p>
        </w:tc>
        <w:tc>
          <w:tcPr>
            <w:tcW w:w="303" w:type="dxa"/>
            <w:vAlign w:val="center"/>
            <w:hideMark/>
          </w:tcPr>
          <w:p w14:paraId="179A594D" w14:textId="77777777" w:rsidR="0006606D" w:rsidRPr="003F2FAD" w:rsidRDefault="0006606D">
            <w:pPr>
              <w:rPr>
                <w:rFonts w:ascii="Morningstar 1" w:eastAsia="Times New Roman" w:hAnsi="Morningstar 1"/>
                <w:sz w:val="22"/>
                <w:szCs w:val="22"/>
                <w:lang w:eastAsia="en-AU"/>
              </w:rPr>
            </w:pPr>
          </w:p>
        </w:tc>
      </w:tr>
      <w:tr w:rsidR="0006606D" w:rsidRPr="003F2FAD" w14:paraId="317949DF" w14:textId="77777777" w:rsidTr="00AE19BD">
        <w:trPr>
          <w:trHeight w:val="288"/>
          <w:jc w:val="center"/>
        </w:trPr>
        <w:tc>
          <w:tcPr>
            <w:tcW w:w="4740" w:type="dxa"/>
            <w:tcBorders>
              <w:top w:val="nil"/>
              <w:left w:val="nil"/>
              <w:bottom w:val="single" w:sz="8" w:space="0" w:color="auto"/>
              <w:right w:val="nil"/>
            </w:tcBorders>
            <w:shd w:val="clear" w:color="auto" w:fill="auto"/>
            <w:noWrap/>
            <w:vAlign w:val="center"/>
            <w:hideMark/>
          </w:tcPr>
          <w:p w14:paraId="717CD950" w14:textId="77777777" w:rsidR="0006606D" w:rsidRPr="003F2FAD" w:rsidRDefault="0006606D">
            <w:pPr>
              <w:rPr>
                <w:rFonts w:ascii="Morningstar 1" w:eastAsia="Times New Roman" w:hAnsi="Morningstar 1" w:cs="Calibri"/>
                <w:color w:val="000000"/>
                <w:sz w:val="22"/>
                <w:szCs w:val="22"/>
                <w:lang w:eastAsia="en-AU"/>
              </w:rPr>
            </w:pPr>
            <w:r w:rsidRPr="003F2FAD">
              <w:rPr>
                <w:rFonts w:ascii="Morningstar 1" w:eastAsia="Times New Roman" w:hAnsi="Morningstar 1" w:cs="Calibri"/>
                <w:color w:val="000000"/>
                <w:sz w:val="22"/>
                <w:szCs w:val="22"/>
                <w:lang w:eastAsia="en-AU"/>
              </w:rPr>
              <w:t>Platypus Australian Eqs Fd Instl Units</w:t>
            </w:r>
          </w:p>
        </w:tc>
        <w:tc>
          <w:tcPr>
            <w:tcW w:w="2339" w:type="dxa"/>
            <w:tcBorders>
              <w:top w:val="nil"/>
              <w:left w:val="nil"/>
              <w:bottom w:val="single" w:sz="8" w:space="0" w:color="auto"/>
              <w:right w:val="nil"/>
            </w:tcBorders>
            <w:shd w:val="clear" w:color="auto" w:fill="auto"/>
            <w:vAlign w:val="center"/>
            <w:hideMark/>
          </w:tcPr>
          <w:p w14:paraId="6961E84D" w14:textId="39291D23" w:rsidR="0006606D" w:rsidRPr="003F2FAD" w:rsidRDefault="0006606D">
            <w:pPr>
              <w:jc w:val="center"/>
              <w:rPr>
                <w:rFonts w:ascii="Morningstar 1" w:eastAsia="Times New Roman" w:hAnsi="Morningstar 1" w:cs="Calibri"/>
                <w:b/>
                <w:bCs/>
                <w:color w:val="00B050"/>
                <w:sz w:val="22"/>
                <w:szCs w:val="22"/>
                <w:lang w:eastAsia="en-AU"/>
              </w:rPr>
            </w:pPr>
            <w:r w:rsidRPr="003F2FAD">
              <w:rPr>
                <w:rFonts w:ascii="Morningstar 1" w:eastAsia="Times New Roman" w:hAnsi="Morningstar 1" w:cs="Calibri"/>
                <w:b/>
                <w:bCs/>
                <w:color w:val="00B050"/>
                <w:sz w:val="22"/>
                <w:szCs w:val="22"/>
                <w:lang w:eastAsia="en-AU"/>
              </w:rPr>
              <w:t>Increase</w:t>
            </w:r>
          </w:p>
        </w:tc>
        <w:tc>
          <w:tcPr>
            <w:tcW w:w="303" w:type="dxa"/>
            <w:vAlign w:val="center"/>
            <w:hideMark/>
          </w:tcPr>
          <w:p w14:paraId="6C19B673" w14:textId="77777777" w:rsidR="0006606D" w:rsidRPr="003F2FAD" w:rsidRDefault="0006606D">
            <w:pPr>
              <w:rPr>
                <w:rFonts w:ascii="Morningstar 1" w:eastAsia="Times New Roman" w:hAnsi="Morningstar 1"/>
                <w:sz w:val="22"/>
                <w:szCs w:val="22"/>
                <w:lang w:eastAsia="en-AU"/>
              </w:rPr>
            </w:pPr>
          </w:p>
        </w:tc>
      </w:tr>
      <w:tr w:rsidR="0006606D" w:rsidRPr="003F2FAD" w14:paraId="7EC2608C" w14:textId="77777777" w:rsidTr="00AE19BD">
        <w:trPr>
          <w:trHeight w:val="288"/>
          <w:jc w:val="center"/>
        </w:trPr>
        <w:tc>
          <w:tcPr>
            <w:tcW w:w="4740" w:type="dxa"/>
            <w:tcBorders>
              <w:top w:val="nil"/>
              <w:left w:val="nil"/>
              <w:bottom w:val="single" w:sz="8" w:space="0" w:color="auto"/>
              <w:right w:val="nil"/>
            </w:tcBorders>
            <w:shd w:val="clear" w:color="auto" w:fill="auto"/>
            <w:noWrap/>
            <w:vAlign w:val="center"/>
            <w:hideMark/>
          </w:tcPr>
          <w:p w14:paraId="1513BFAA" w14:textId="77777777" w:rsidR="0006606D" w:rsidRPr="003F2FAD" w:rsidRDefault="0006606D">
            <w:pPr>
              <w:rPr>
                <w:rFonts w:ascii="Morningstar 1" w:eastAsia="Times New Roman" w:hAnsi="Morningstar 1" w:cs="Calibri"/>
                <w:color w:val="000000"/>
                <w:sz w:val="22"/>
                <w:szCs w:val="22"/>
                <w:lang w:eastAsia="en-AU"/>
              </w:rPr>
            </w:pPr>
            <w:r w:rsidRPr="003F2FAD">
              <w:rPr>
                <w:rFonts w:ascii="Morningstar 1" w:eastAsia="Times New Roman" w:hAnsi="Morningstar 1" w:cs="Calibri"/>
                <w:color w:val="000000"/>
                <w:sz w:val="22"/>
                <w:szCs w:val="22"/>
                <w:lang w:eastAsia="en-AU"/>
              </w:rPr>
              <w:t>Schroder WS Australian Equity Fund - WC</w:t>
            </w:r>
          </w:p>
        </w:tc>
        <w:tc>
          <w:tcPr>
            <w:tcW w:w="2339" w:type="dxa"/>
            <w:tcBorders>
              <w:top w:val="nil"/>
              <w:left w:val="nil"/>
              <w:bottom w:val="single" w:sz="8" w:space="0" w:color="auto"/>
              <w:right w:val="nil"/>
            </w:tcBorders>
            <w:shd w:val="clear" w:color="auto" w:fill="auto"/>
            <w:vAlign w:val="center"/>
            <w:hideMark/>
          </w:tcPr>
          <w:p w14:paraId="0B65E149" w14:textId="66DC814F" w:rsidR="0006606D" w:rsidRPr="003F2FAD" w:rsidRDefault="0006606D">
            <w:pPr>
              <w:jc w:val="center"/>
              <w:rPr>
                <w:rFonts w:ascii="Morningstar 1" w:eastAsia="Times New Roman" w:hAnsi="Morningstar 1" w:cs="Calibri"/>
                <w:b/>
                <w:bCs/>
                <w:color w:val="00B050"/>
                <w:sz w:val="22"/>
                <w:szCs w:val="22"/>
                <w:lang w:eastAsia="en-AU"/>
              </w:rPr>
            </w:pPr>
            <w:r w:rsidRPr="003F2FAD">
              <w:rPr>
                <w:rFonts w:ascii="Morningstar 1" w:eastAsia="Times New Roman" w:hAnsi="Morningstar 1" w:cs="Calibri"/>
                <w:b/>
                <w:bCs/>
                <w:color w:val="00B050"/>
                <w:sz w:val="22"/>
                <w:szCs w:val="22"/>
                <w:lang w:eastAsia="en-AU"/>
              </w:rPr>
              <w:t>Increase</w:t>
            </w:r>
          </w:p>
        </w:tc>
        <w:tc>
          <w:tcPr>
            <w:tcW w:w="303" w:type="dxa"/>
            <w:vAlign w:val="center"/>
            <w:hideMark/>
          </w:tcPr>
          <w:p w14:paraId="5E80657D" w14:textId="77777777" w:rsidR="0006606D" w:rsidRPr="003F2FAD" w:rsidRDefault="0006606D">
            <w:pPr>
              <w:rPr>
                <w:rFonts w:ascii="Morningstar 1" w:eastAsia="Times New Roman" w:hAnsi="Morningstar 1"/>
                <w:sz w:val="22"/>
                <w:szCs w:val="22"/>
                <w:lang w:eastAsia="en-AU"/>
              </w:rPr>
            </w:pPr>
          </w:p>
        </w:tc>
      </w:tr>
      <w:tr w:rsidR="0006606D" w:rsidRPr="003F2FAD" w14:paraId="6BA54583" w14:textId="77777777" w:rsidTr="00AE19BD">
        <w:trPr>
          <w:trHeight w:val="288"/>
          <w:jc w:val="center"/>
        </w:trPr>
        <w:tc>
          <w:tcPr>
            <w:tcW w:w="4740" w:type="dxa"/>
            <w:tcBorders>
              <w:top w:val="nil"/>
              <w:left w:val="nil"/>
              <w:bottom w:val="single" w:sz="8" w:space="0" w:color="auto"/>
              <w:right w:val="nil"/>
            </w:tcBorders>
            <w:shd w:val="clear" w:color="000000" w:fill="F2F2F2"/>
            <w:vAlign w:val="center"/>
            <w:hideMark/>
          </w:tcPr>
          <w:p w14:paraId="01FEC988" w14:textId="77777777" w:rsidR="0006606D" w:rsidRPr="003F2FAD" w:rsidRDefault="0006606D">
            <w:pPr>
              <w:rPr>
                <w:rFonts w:ascii="Morningstar 1" w:eastAsia="Times New Roman" w:hAnsi="Morningstar 1" w:cs="Calibri"/>
                <w:b/>
                <w:bCs/>
                <w:color w:val="000000"/>
                <w:sz w:val="22"/>
                <w:szCs w:val="22"/>
                <w:lang w:eastAsia="en-AU"/>
              </w:rPr>
            </w:pPr>
            <w:r w:rsidRPr="003F2FAD">
              <w:rPr>
                <w:rFonts w:ascii="Morningstar 1" w:eastAsia="Times New Roman" w:hAnsi="Morningstar 1" w:cs="Calibri"/>
                <w:b/>
                <w:bCs/>
                <w:color w:val="000000"/>
                <w:sz w:val="22"/>
                <w:szCs w:val="22"/>
                <w:lang w:eastAsia="en-AU"/>
              </w:rPr>
              <w:t>International Shares</w:t>
            </w:r>
          </w:p>
        </w:tc>
        <w:tc>
          <w:tcPr>
            <w:tcW w:w="2339" w:type="dxa"/>
            <w:tcBorders>
              <w:top w:val="nil"/>
              <w:left w:val="nil"/>
              <w:bottom w:val="single" w:sz="8" w:space="0" w:color="auto"/>
              <w:right w:val="nil"/>
            </w:tcBorders>
            <w:shd w:val="clear" w:color="000000" w:fill="F2F2F2"/>
            <w:vAlign w:val="center"/>
            <w:hideMark/>
          </w:tcPr>
          <w:p w14:paraId="3401345C" w14:textId="77777777" w:rsidR="0006606D" w:rsidRPr="003F2FAD" w:rsidRDefault="0006606D">
            <w:pPr>
              <w:jc w:val="center"/>
              <w:rPr>
                <w:rFonts w:ascii="Morningstar 1" w:eastAsia="Times New Roman" w:hAnsi="Morningstar 1" w:cs="Calibri"/>
                <w:b/>
                <w:bCs/>
                <w:color w:val="00B050"/>
                <w:sz w:val="22"/>
                <w:szCs w:val="22"/>
                <w:lang w:eastAsia="en-AU"/>
              </w:rPr>
            </w:pPr>
            <w:r w:rsidRPr="003F2FAD">
              <w:rPr>
                <w:rFonts w:ascii="Morningstar 1" w:eastAsia="Times New Roman" w:hAnsi="Morningstar 1" w:cs="Calibri"/>
                <w:b/>
                <w:bCs/>
                <w:color w:val="00B050"/>
                <w:sz w:val="22"/>
                <w:szCs w:val="22"/>
                <w:lang w:eastAsia="en-AU"/>
              </w:rPr>
              <w:t> </w:t>
            </w:r>
          </w:p>
        </w:tc>
        <w:tc>
          <w:tcPr>
            <w:tcW w:w="303" w:type="dxa"/>
            <w:vAlign w:val="center"/>
            <w:hideMark/>
          </w:tcPr>
          <w:p w14:paraId="2D4282EB" w14:textId="77777777" w:rsidR="0006606D" w:rsidRPr="003F2FAD" w:rsidRDefault="0006606D">
            <w:pPr>
              <w:rPr>
                <w:rFonts w:ascii="Morningstar 1" w:eastAsia="Times New Roman" w:hAnsi="Morningstar 1"/>
                <w:sz w:val="22"/>
                <w:szCs w:val="22"/>
                <w:lang w:eastAsia="en-AU"/>
              </w:rPr>
            </w:pPr>
          </w:p>
        </w:tc>
      </w:tr>
      <w:tr w:rsidR="0006606D" w:rsidRPr="003F2FAD" w14:paraId="1A39E385" w14:textId="77777777" w:rsidTr="00AE19BD">
        <w:trPr>
          <w:trHeight w:val="288"/>
          <w:jc w:val="center"/>
        </w:trPr>
        <w:tc>
          <w:tcPr>
            <w:tcW w:w="4740" w:type="dxa"/>
            <w:tcBorders>
              <w:top w:val="nil"/>
              <w:left w:val="nil"/>
              <w:bottom w:val="single" w:sz="8" w:space="0" w:color="auto"/>
              <w:right w:val="nil"/>
            </w:tcBorders>
            <w:shd w:val="clear" w:color="auto" w:fill="auto"/>
            <w:noWrap/>
            <w:vAlign w:val="center"/>
            <w:hideMark/>
          </w:tcPr>
          <w:p w14:paraId="3E68B21E" w14:textId="77777777" w:rsidR="0006606D" w:rsidRPr="003F2FAD" w:rsidRDefault="0006606D">
            <w:pPr>
              <w:rPr>
                <w:rFonts w:ascii="Morningstar 1" w:eastAsia="Times New Roman" w:hAnsi="Morningstar 1" w:cs="Calibri"/>
                <w:color w:val="000000"/>
                <w:sz w:val="22"/>
                <w:szCs w:val="22"/>
                <w:lang w:eastAsia="en-AU"/>
              </w:rPr>
            </w:pPr>
            <w:r w:rsidRPr="003F2FAD">
              <w:rPr>
                <w:rFonts w:ascii="Morningstar 1" w:eastAsia="Times New Roman" w:hAnsi="Morningstar 1" w:cs="Calibri"/>
                <w:color w:val="000000"/>
                <w:sz w:val="22"/>
                <w:szCs w:val="22"/>
                <w:lang w:eastAsia="en-AU"/>
              </w:rPr>
              <w:t>MFS Global Equity Trust II - I Hedged</w:t>
            </w:r>
          </w:p>
        </w:tc>
        <w:tc>
          <w:tcPr>
            <w:tcW w:w="2339" w:type="dxa"/>
            <w:tcBorders>
              <w:top w:val="nil"/>
              <w:left w:val="nil"/>
              <w:bottom w:val="single" w:sz="8" w:space="0" w:color="auto"/>
              <w:right w:val="nil"/>
            </w:tcBorders>
            <w:shd w:val="clear" w:color="auto" w:fill="auto"/>
            <w:vAlign w:val="center"/>
            <w:hideMark/>
          </w:tcPr>
          <w:p w14:paraId="7A165385" w14:textId="6129E99D" w:rsidR="0006606D" w:rsidRPr="003F2FAD" w:rsidRDefault="0006606D">
            <w:pPr>
              <w:jc w:val="center"/>
              <w:rPr>
                <w:rFonts w:ascii="Morningstar 1" w:eastAsia="Times New Roman" w:hAnsi="Morningstar 1" w:cs="Calibri"/>
                <w:b/>
                <w:bCs/>
                <w:color w:val="00B050"/>
                <w:sz w:val="22"/>
                <w:szCs w:val="22"/>
                <w:lang w:eastAsia="en-AU"/>
              </w:rPr>
            </w:pPr>
            <w:r w:rsidRPr="003F2FAD">
              <w:rPr>
                <w:rFonts w:ascii="Morningstar 1" w:eastAsia="Times New Roman" w:hAnsi="Morningstar 1" w:cs="Calibri"/>
                <w:b/>
                <w:bCs/>
                <w:color w:val="00B050"/>
                <w:sz w:val="22"/>
                <w:szCs w:val="22"/>
                <w:lang w:eastAsia="en-AU"/>
              </w:rPr>
              <w:t>Increase</w:t>
            </w:r>
          </w:p>
        </w:tc>
        <w:tc>
          <w:tcPr>
            <w:tcW w:w="303" w:type="dxa"/>
            <w:vAlign w:val="center"/>
            <w:hideMark/>
          </w:tcPr>
          <w:p w14:paraId="458F0183" w14:textId="77777777" w:rsidR="0006606D" w:rsidRPr="003F2FAD" w:rsidRDefault="0006606D">
            <w:pPr>
              <w:rPr>
                <w:rFonts w:ascii="Morningstar 1" w:eastAsia="Times New Roman" w:hAnsi="Morningstar 1"/>
                <w:sz w:val="22"/>
                <w:szCs w:val="22"/>
                <w:lang w:eastAsia="en-AU"/>
              </w:rPr>
            </w:pPr>
          </w:p>
        </w:tc>
      </w:tr>
      <w:tr w:rsidR="0006606D" w:rsidRPr="003F2FAD" w14:paraId="7FEA1A24" w14:textId="77777777" w:rsidTr="00AE19BD">
        <w:trPr>
          <w:trHeight w:val="288"/>
          <w:jc w:val="center"/>
        </w:trPr>
        <w:tc>
          <w:tcPr>
            <w:tcW w:w="4740" w:type="dxa"/>
            <w:tcBorders>
              <w:top w:val="nil"/>
              <w:left w:val="nil"/>
              <w:bottom w:val="single" w:sz="8" w:space="0" w:color="auto"/>
              <w:right w:val="nil"/>
            </w:tcBorders>
            <w:shd w:val="clear" w:color="auto" w:fill="auto"/>
            <w:noWrap/>
            <w:vAlign w:val="center"/>
            <w:hideMark/>
          </w:tcPr>
          <w:p w14:paraId="39DA327E" w14:textId="77777777" w:rsidR="0006606D" w:rsidRPr="003F2FAD" w:rsidRDefault="0006606D">
            <w:pPr>
              <w:rPr>
                <w:rFonts w:ascii="Morningstar 1" w:eastAsia="Times New Roman" w:hAnsi="Morningstar 1" w:cs="Calibri"/>
                <w:color w:val="000000"/>
                <w:sz w:val="22"/>
                <w:szCs w:val="22"/>
                <w:lang w:eastAsia="en-AU"/>
              </w:rPr>
            </w:pPr>
            <w:r w:rsidRPr="003F2FAD">
              <w:rPr>
                <w:rFonts w:ascii="Morningstar 1" w:eastAsia="Times New Roman" w:hAnsi="Morningstar 1" w:cs="Calibri"/>
                <w:color w:val="000000"/>
                <w:sz w:val="22"/>
                <w:szCs w:val="22"/>
                <w:lang w:eastAsia="en-AU"/>
              </w:rPr>
              <w:t>GQG Partners Global Equity AUD Hedged</w:t>
            </w:r>
          </w:p>
        </w:tc>
        <w:tc>
          <w:tcPr>
            <w:tcW w:w="2339" w:type="dxa"/>
            <w:tcBorders>
              <w:top w:val="nil"/>
              <w:left w:val="nil"/>
              <w:bottom w:val="single" w:sz="8" w:space="0" w:color="auto"/>
              <w:right w:val="nil"/>
            </w:tcBorders>
            <w:shd w:val="clear" w:color="auto" w:fill="auto"/>
            <w:vAlign w:val="center"/>
            <w:hideMark/>
          </w:tcPr>
          <w:p w14:paraId="395EC51E" w14:textId="60530644" w:rsidR="0006606D" w:rsidRPr="003F2FAD" w:rsidRDefault="0006606D">
            <w:pPr>
              <w:jc w:val="center"/>
              <w:rPr>
                <w:rFonts w:ascii="Morningstar 1" w:eastAsia="Times New Roman" w:hAnsi="Morningstar 1" w:cs="Calibri"/>
                <w:b/>
                <w:bCs/>
                <w:color w:val="FF0000"/>
                <w:sz w:val="22"/>
                <w:szCs w:val="22"/>
                <w:lang w:eastAsia="en-AU"/>
              </w:rPr>
            </w:pPr>
            <w:r w:rsidRPr="003F2FAD">
              <w:rPr>
                <w:rFonts w:ascii="Morningstar 1" w:eastAsia="Times New Roman" w:hAnsi="Morningstar 1" w:cs="Calibri"/>
                <w:b/>
                <w:bCs/>
                <w:color w:val="FF0000"/>
                <w:sz w:val="22"/>
                <w:szCs w:val="22"/>
                <w:lang w:eastAsia="en-AU"/>
              </w:rPr>
              <w:t>Decrease</w:t>
            </w:r>
          </w:p>
        </w:tc>
        <w:tc>
          <w:tcPr>
            <w:tcW w:w="303" w:type="dxa"/>
            <w:vAlign w:val="center"/>
            <w:hideMark/>
          </w:tcPr>
          <w:p w14:paraId="03BCE000" w14:textId="77777777" w:rsidR="0006606D" w:rsidRPr="003F2FAD" w:rsidRDefault="0006606D">
            <w:pPr>
              <w:rPr>
                <w:rFonts w:ascii="Morningstar 1" w:eastAsia="Times New Roman" w:hAnsi="Morningstar 1"/>
                <w:sz w:val="22"/>
                <w:szCs w:val="22"/>
                <w:lang w:eastAsia="en-AU"/>
              </w:rPr>
            </w:pPr>
          </w:p>
        </w:tc>
      </w:tr>
      <w:tr w:rsidR="0006606D" w:rsidRPr="003F2FAD" w14:paraId="00BBB448" w14:textId="77777777" w:rsidTr="00AE19BD">
        <w:trPr>
          <w:trHeight w:val="288"/>
          <w:jc w:val="center"/>
        </w:trPr>
        <w:tc>
          <w:tcPr>
            <w:tcW w:w="4740" w:type="dxa"/>
            <w:tcBorders>
              <w:top w:val="nil"/>
              <w:left w:val="nil"/>
              <w:bottom w:val="single" w:sz="8" w:space="0" w:color="auto"/>
              <w:right w:val="nil"/>
            </w:tcBorders>
            <w:shd w:val="clear" w:color="auto" w:fill="auto"/>
            <w:noWrap/>
            <w:vAlign w:val="center"/>
            <w:hideMark/>
          </w:tcPr>
          <w:p w14:paraId="52F9D57B" w14:textId="77777777" w:rsidR="0006606D" w:rsidRPr="003F2FAD" w:rsidRDefault="0006606D">
            <w:pPr>
              <w:rPr>
                <w:rFonts w:ascii="Morningstar 1" w:eastAsia="Times New Roman" w:hAnsi="Morningstar 1" w:cs="Calibri"/>
                <w:color w:val="000000"/>
                <w:sz w:val="22"/>
                <w:szCs w:val="22"/>
                <w:lang w:eastAsia="en-AU"/>
              </w:rPr>
            </w:pPr>
            <w:r w:rsidRPr="003F2FAD">
              <w:rPr>
                <w:rFonts w:ascii="Morningstar 1" w:eastAsia="Times New Roman" w:hAnsi="Morningstar 1" w:cs="Calibri"/>
                <w:color w:val="000000"/>
                <w:sz w:val="22"/>
                <w:szCs w:val="22"/>
                <w:lang w:eastAsia="en-AU"/>
              </w:rPr>
              <w:t>Barrow Hanley Global Share S</w:t>
            </w:r>
          </w:p>
        </w:tc>
        <w:tc>
          <w:tcPr>
            <w:tcW w:w="2339" w:type="dxa"/>
            <w:tcBorders>
              <w:top w:val="nil"/>
              <w:left w:val="nil"/>
              <w:bottom w:val="single" w:sz="8" w:space="0" w:color="auto"/>
              <w:right w:val="nil"/>
            </w:tcBorders>
            <w:shd w:val="clear" w:color="auto" w:fill="auto"/>
            <w:vAlign w:val="center"/>
            <w:hideMark/>
          </w:tcPr>
          <w:p w14:paraId="14B59509" w14:textId="6107F9A5" w:rsidR="0006606D" w:rsidRPr="003F2FAD" w:rsidRDefault="0006606D">
            <w:pPr>
              <w:jc w:val="center"/>
              <w:rPr>
                <w:rFonts w:ascii="Morningstar 1" w:eastAsia="Times New Roman" w:hAnsi="Morningstar 1" w:cs="Calibri"/>
                <w:b/>
                <w:bCs/>
                <w:color w:val="00B050"/>
                <w:sz w:val="22"/>
                <w:szCs w:val="22"/>
                <w:lang w:eastAsia="en-AU"/>
              </w:rPr>
            </w:pPr>
            <w:r w:rsidRPr="003F2FAD">
              <w:rPr>
                <w:rFonts w:ascii="Morningstar 1" w:eastAsia="Times New Roman" w:hAnsi="Morningstar 1" w:cs="Calibri"/>
                <w:b/>
                <w:bCs/>
                <w:color w:val="00B050"/>
                <w:sz w:val="22"/>
                <w:szCs w:val="22"/>
                <w:lang w:eastAsia="en-AU"/>
              </w:rPr>
              <w:t>Increase</w:t>
            </w:r>
          </w:p>
        </w:tc>
        <w:tc>
          <w:tcPr>
            <w:tcW w:w="303" w:type="dxa"/>
            <w:vAlign w:val="center"/>
            <w:hideMark/>
          </w:tcPr>
          <w:p w14:paraId="152327D4" w14:textId="77777777" w:rsidR="0006606D" w:rsidRPr="003F2FAD" w:rsidRDefault="0006606D">
            <w:pPr>
              <w:rPr>
                <w:rFonts w:ascii="Morningstar 1" w:eastAsia="Times New Roman" w:hAnsi="Morningstar 1"/>
                <w:sz w:val="22"/>
                <w:szCs w:val="22"/>
                <w:lang w:eastAsia="en-AU"/>
              </w:rPr>
            </w:pPr>
          </w:p>
        </w:tc>
      </w:tr>
      <w:tr w:rsidR="0006606D" w:rsidRPr="003F2FAD" w14:paraId="3636712C" w14:textId="77777777" w:rsidTr="00AE19BD">
        <w:trPr>
          <w:trHeight w:val="288"/>
          <w:jc w:val="center"/>
        </w:trPr>
        <w:tc>
          <w:tcPr>
            <w:tcW w:w="4740" w:type="dxa"/>
            <w:tcBorders>
              <w:top w:val="nil"/>
              <w:left w:val="nil"/>
              <w:bottom w:val="single" w:sz="8" w:space="0" w:color="auto"/>
              <w:right w:val="nil"/>
            </w:tcBorders>
            <w:shd w:val="clear" w:color="000000" w:fill="F2F2F2"/>
            <w:vAlign w:val="center"/>
            <w:hideMark/>
          </w:tcPr>
          <w:p w14:paraId="3BFFCD7A" w14:textId="77777777" w:rsidR="0006606D" w:rsidRPr="003F2FAD" w:rsidRDefault="0006606D">
            <w:pPr>
              <w:rPr>
                <w:rFonts w:ascii="Morningstar 1" w:eastAsia="Times New Roman" w:hAnsi="Morningstar 1" w:cs="Calibri"/>
                <w:b/>
                <w:bCs/>
                <w:color w:val="000000"/>
                <w:sz w:val="22"/>
                <w:szCs w:val="22"/>
                <w:lang w:eastAsia="en-AU"/>
              </w:rPr>
            </w:pPr>
            <w:r w:rsidRPr="003F2FAD">
              <w:rPr>
                <w:rFonts w:ascii="Morningstar 1" w:eastAsia="Times New Roman" w:hAnsi="Morningstar 1" w:cs="Calibri"/>
                <w:b/>
                <w:bCs/>
                <w:color w:val="000000"/>
                <w:sz w:val="22"/>
                <w:szCs w:val="22"/>
                <w:lang w:eastAsia="en-AU"/>
              </w:rPr>
              <w:t>Property and Infrastructure</w:t>
            </w:r>
          </w:p>
        </w:tc>
        <w:tc>
          <w:tcPr>
            <w:tcW w:w="2339" w:type="dxa"/>
            <w:tcBorders>
              <w:top w:val="nil"/>
              <w:left w:val="nil"/>
              <w:bottom w:val="single" w:sz="8" w:space="0" w:color="auto"/>
              <w:right w:val="nil"/>
            </w:tcBorders>
            <w:shd w:val="clear" w:color="000000" w:fill="F2F2F2"/>
            <w:vAlign w:val="center"/>
            <w:hideMark/>
          </w:tcPr>
          <w:p w14:paraId="0580B970" w14:textId="77777777" w:rsidR="0006606D" w:rsidRPr="003F2FAD" w:rsidRDefault="0006606D">
            <w:pPr>
              <w:jc w:val="center"/>
              <w:rPr>
                <w:rFonts w:ascii="Morningstar 1" w:eastAsia="Times New Roman" w:hAnsi="Morningstar 1" w:cs="Calibri"/>
                <w:b/>
                <w:bCs/>
                <w:color w:val="00B050"/>
                <w:sz w:val="22"/>
                <w:szCs w:val="22"/>
                <w:lang w:eastAsia="en-AU"/>
              </w:rPr>
            </w:pPr>
            <w:r w:rsidRPr="003F2FAD">
              <w:rPr>
                <w:rFonts w:ascii="Morningstar 1" w:eastAsia="Times New Roman" w:hAnsi="Morningstar 1" w:cs="Calibri"/>
                <w:b/>
                <w:bCs/>
                <w:color w:val="00B050"/>
                <w:sz w:val="22"/>
                <w:szCs w:val="22"/>
                <w:lang w:eastAsia="en-AU"/>
              </w:rPr>
              <w:t> </w:t>
            </w:r>
          </w:p>
        </w:tc>
        <w:tc>
          <w:tcPr>
            <w:tcW w:w="303" w:type="dxa"/>
            <w:vAlign w:val="center"/>
            <w:hideMark/>
          </w:tcPr>
          <w:p w14:paraId="3656ACF8" w14:textId="77777777" w:rsidR="0006606D" w:rsidRPr="003F2FAD" w:rsidRDefault="0006606D">
            <w:pPr>
              <w:rPr>
                <w:rFonts w:ascii="Morningstar 1" w:eastAsia="Times New Roman" w:hAnsi="Morningstar 1"/>
                <w:sz w:val="22"/>
                <w:szCs w:val="22"/>
                <w:lang w:eastAsia="en-AU"/>
              </w:rPr>
            </w:pPr>
          </w:p>
        </w:tc>
      </w:tr>
      <w:tr w:rsidR="0006606D" w:rsidRPr="003F2FAD" w14:paraId="734AD828" w14:textId="77777777" w:rsidTr="00AE19BD">
        <w:trPr>
          <w:trHeight w:val="288"/>
          <w:jc w:val="center"/>
        </w:trPr>
        <w:tc>
          <w:tcPr>
            <w:tcW w:w="4740" w:type="dxa"/>
            <w:tcBorders>
              <w:top w:val="nil"/>
              <w:left w:val="nil"/>
              <w:bottom w:val="single" w:sz="8" w:space="0" w:color="auto"/>
              <w:right w:val="nil"/>
            </w:tcBorders>
            <w:shd w:val="clear" w:color="auto" w:fill="auto"/>
            <w:noWrap/>
            <w:vAlign w:val="center"/>
            <w:hideMark/>
          </w:tcPr>
          <w:p w14:paraId="61A07EF9" w14:textId="77777777" w:rsidR="0006606D" w:rsidRPr="003F2FAD" w:rsidRDefault="0006606D">
            <w:pPr>
              <w:rPr>
                <w:rFonts w:ascii="Morningstar 1" w:eastAsia="Times New Roman" w:hAnsi="Morningstar 1" w:cs="Calibri"/>
                <w:color w:val="000000"/>
                <w:sz w:val="22"/>
                <w:szCs w:val="22"/>
                <w:lang w:eastAsia="en-AU"/>
              </w:rPr>
            </w:pPr>
            <w:r w:rsidRPr="003F2FAD">
              <w:rPr>
                <w:rFonts w:ascii="Morningstar 1" w:eastAsia="Times New Roman" w:hAnsi="Morningstar 1" w:cs="Calibri"/>
                <w:color w:val="000000"/>
                <w:sz w:val="22"/>
                <w:szCs w:val="22"/>
                <w:lang w:eastAsia="en-AU"/>
              </w:rPr>
              <w:t>MFG Core Infrastructure</w:t>
            </w:r>
          </w:p>
        </w:tc>
        <w:tc>
          <w:tcPr>
            <w:tcW w:w="2339" w:type="dxa"/>
            <w:tcBorders>
              <w:top w:val="nil"/>
              <w:left w:val="nil"/>
              <w:bottom w:val="single" w:sz="8" w:space="0" w:color="auto"/>
              <w:right w:val="nil"/>
            </w:tcBorders>
            <w:shd w:val="clear" w:color="auto" w:fill="auto"/>
            <w:vAlign w:val="center"/>
            <w:hideMark/>
          </w:tcPr>
          <w:p w14:paraId="13E62E21" w14:textId="72A736B1" w:rsidR="0006606D" w:rsidRPr="003F2FAD" w:rsidRDefault="0006606D">
            <w:pPr>
              <w:jc w:val="center"/>
              <w:rPr>
                <w:rFonts w:ascii="Morningstar 1" w:eastAsia="Times New Roman" w:hAnsi="Morningstar 1" w:cs="Calibri"/>
                <w:b/>
                <w:bCs/>
                <w:color w:val="FF0000"/>
                <w:sz w:val="22"/>
                <w:szCs w:val="22"/>
                <w:lang w:eastAsia="en-AU"/>
              </w:rPr>
            </w:pPr>
            <w:r w:rsidRPr="003F2FAD">
              <w:rPr>
                <w:rFonts w:ascii="Morningstar 1" w:eastAsia="Times New Roman" w:hAnsi="Morningstar 1" w:cs="Calibri"/>
                <w:b/>
                <w:bCs/>
                <w:color w:val="FF0000"/>
                <w:sz w:val="22"/>
                <w:szCs w:val="22"/>
                <w:lang w:eastAsia="en-AU"/>
              </w:rPr>
              <w:t>Decrease</w:t>
            </w:r>
          </w:p>
        </w:tc>
        <w:tc>
          <w:tcPr>
            <w:tcW w:w="303" w:type="dxa"/>
            <w:vAlign w:val="center"/>
            <w:hideMark/>
          </w:tcPr>
          <w:p w14:paraId="00846CB4" w14:textId="77777777" w:rsidR="0006606D" w:rsidRPr="003F2FAD" w:rsidRDefault="0006606D">
            <w:pPr>
              <w:rPr>
                <w:rFonts w:ascii="Morningstar 1" w:eastAsia="Times New Roman" w:hAnsi="Morningstar 1"/>
                <w:sz w:val="22"/>
                <w:szCs w:val="22"/>
                <w:lang w:eastAsia="en-AU"/>
              </w:rPr>
            </w:pPr>
          </w:p>
        </w:tc>
      </w:tr>
      <w:tr w:rsidR="0006606D" w:rsidRPr="003F2FAD" w14:paraId="7AFD29AC" w14:textId="77777777" w:rsidTr="00AE19BD">
        <w:trPr>
          <w:trHeight w:val="366"/>
          <w:jc w:val="center"/>
        </w:trPr>
        <w:tc>
          <w:tcPr>
            <w:tcW w:w="4740" w:type="dxa"/>
            <w:tcBorders>
              <w:top w:val="nil"/>
              <w:left w:val="nil"/>
              <w:bottom w:val="single" w:sz="8" w:space="0" w:color="auto"/>
              <w:right w:val="nil"/>
            </w:tcBorders>
            <w:shd w:val="clear" w:color="auto" w:fill="auto"/>
            <w:noWrap/>
            <w:vAlign w:val="center"/>
            <w:hideMark/>
          </w:tcPr>
          <w:p w14:paraId="19535B2A" w14:textId="77777777" w:rsidR="0006606D" w:rsidRPr="003F2FAD" w:rsidRDefault="0006606D">
            <w:pPr>
              <w:rPr>
                <w:rFonts w:ascii="Morningstar 1" w:eastAsia="Times New Roman" w:hAnsi="Morningstar 1" w:cs="Calibri"/>
                <w:color w:val="000000"/>
                <w:sz w:val="22"/>
                <w:szCs w:val="22"/>
                <w:lang w:eastAsia="en-AU"/>
              </w:rPr>
            </w:pPr>
            <w:r w:rsidRPr="003F2FAD">
              <w:rPr>
                <w:rFonts w:ascii="Morningstar 1" w:eastAsia="Times New Roman" w:hAnsi="Morningstar 1" w:cs="Calibri"/>
                <w:color w:val="000000"/>
                <w:sz w:val="22"/>
                <w:szCs w:val="22"/>
                <w:lang w:eastAsia="en-AU"/>
              </w:rPr>
              <w:t>iShares Global Listed Property Idx Hdg S</w:t>
            </w:r>
          </w:p>
        </w:tc>
        <w:tc>
          <w:tcPr>
            <w:tcW w:w="2339" w:type="dxa"/>
            <w:tcBorders>
              <w:top w:val="nil"/>
              <w:left w:val="nil"/>
              <w:bottom w:val="single" w:sz="8" w:space="0" w:color="auto"/>
              <w:right w:val="nil"/>
            </w:tcBorders>
            <w:shd w:val="clear" w:color="auto" w:fill="auto"/>
            <w:vAlign w:val="center"/>
            <w:hideMark/>
          </w:tcPr>
          <w:p w14:paraId="3D743FB5" w14:textId="58B82369" w:rsidR="0006606D" w:rsidRPr="003F2FAD" w:rsidRDefault="0006606D">
            <w:pPr>
              <w:jc w:val="center"/>
              <w:rPr>
                <w:rFonts w:ascii="Morningstar 1" w:eastAsia="Times New Roman" w:hAnsi="Morningstar 1" w:cs="Calibri"/>
                <w:b/>
                <w:bCs/>
                <w:color w:val="FF0000"/>
                <w:sz w:val="22"/>
                <w:szCs w:val="22"/>
                <w:lang w:eastAsia="en-AU"/>
              </w:rPr>
            </w:pPr>
            <w:r w:rsidRPr="003F2FAD">
              <w:rPr>
                <w:rFonts w:ascii="Morningstar 1" w:eastAsia="Times New Roman" w:hAnsi="Morningstar 1" w:cs="Calibri"/>
                <w:b/>
                <w:bCs/>
                <w:color w:val="FF0000"/>
                <w:sz w:val="22"/>
                <w:szCs w:val="22"/>
                <w:lang w:eastAsia="en-AU"/>
              </w:rPr>
              <w:t>Decrease</w:t>
            </w:r>
          </w:p>
        </w:tc>
        <w:tc>
          <w:tcPr>
            <w:tcW w:w="303" w:type="dxa"/>
            <w:vAlign w:val="center"/>
            <w:hideMark/>
          </w:tcPr>
          <w:p w14:paraId="2FBCD9D2" w14:textId="77777777" w:rsidR="0006606D" w:rsidRPr="003F2FAD" w:rsidRDefault="0006606D">
            <w:pPr>
              <w:rPr>
                <w:rFonts w:ascii="Morningstar 1" w:eastAsia="Times New Roman" w:hAnsi="Morningstar 1"/>
                <w:sz w:val="22"/>
                <w:szCs w:val="22"/>
                <w:lang w:eastAsia="en-AU"/>
              </w:rPr>
            </w:pPr>
          </w:p>
        </w:tc>
      </w:tr>
    </w:tbl>
    <w:p w14:paraId="4938BB0C" w14:textId="77777777" w:rsidR="009954C9" w:rsidRPr="009C6816" w:rsidRDefault="009954C9" w:rsidP="000F2B7F">
      <w:pPr>
        <w:rPr>
          <w:rFonts w:ascii="Morningstar 1" w:hAnsi="Morningstar 1" w:cs="Morningstar1Light"/>
          <w:sz w:val="22"/>
          <w:szCs w:val="22"/>
        </w:rPr>
      </w:pPr>
    </w:p>
    <w:p w14:paraId="7B25DA00" w14:textId="164CC586" w:rsidR="00923109" w:rsidRDefault="003104D9" w:rsidP="00923109">
      <w:pPr>
        <w:rPr>
          <w:rFonts w:ascii="Morningstar 1" w:hAnsi="Morningstar 1" w:cs="Morningstar1Light"/>
          <w:sz w:val="22"/>
          <w:szCs w:val="22"/>
        </w:rPr>
      </w:pPr>
      <w:r>
        <w:rPr>
          <w:rFonts w:ascii="Morningstar 1" w:hAnsi="Morningstar 1" w:cs="Morningstar1Light"/>
          <w:sz w:val="22"/>
          <w:szCs w:val="22"/>
        </w:rPr>
        <w:t>Your</w:t>
      </w:r>
      <w:r w:rsidRPr="009C6816">
        <w:rPr>
          <w:rFonts w:ascii="Morningstar 1" w:hAnsi="Morningstar 1" w:cs="Morningstar1Light"/>
          <w:sz w:val="22"/>
          <w:szCs w:val="22"/>
        </w:rPr>
        <w:t xml:space="preserve"> </w:t>
      </w:r>
      <w:r w:rsidR="00923109" w:rsidRPr="009C6816">
        <w:rPr>
          <w:rFonts w:ascii="Morningstar 1" w:hAnsi="Morningstar 1" w:cs="Morningstar1Light"/>
          <w:sz w:val="22"/>
          <w:szCs w:val="22"/>
        </w:rPr>
        <w:t xml:space="preserve">portfolio maintains a slight overweight to </w:t>
      </w:r>
      <w:r w:rsidR="003B3023">
        <w:rPr>
          <w:rFonts w:ascii="Morningstar 1" w:hAnsi="Morningstar 1" w:cs="Morningstar1Light"/>
          <w:sz w:val="22"/>
          <w:szCs w:val="22"/>
        </w:rPr>
        <w:t>defensive assets</w:t>
      </w:r>
      <w:r w:rsidR="003B3023" w:rsidRPr="009C6816">
        <w:rPr>
          <w:rFonts w:ascii="Morningstar 1" w:hAnsi="Morningstar 1" w:cs="Morningstar1Light"/>
          <w:sz w:val="22"/>
          <w:szCs w:val="22"/>
        </w:rPr>
        <w:t xml:space="preserve"> </w:t>
      </w:r>
      <w:r w:rsidR="00923109" w:rsidRPr="009C6816">
        <w:rPr>
          <w:rFonts w:ascii="Morningstar 1" w:hAnsi="Morningstar 1" w:cs="Morningstar1Light"/>
          <w:sz w:val="22"/>
          <w:szCs w:val="22"/>
        </w:rPr>
        <w:t xml:space="preserve">relative to growth assets, with a skew that is in line with </w:t>
      </w:r>
      <w:r w:rsidR="010637FF" w:rsidRPr="7F0968CE">
        <w:rPr>
          <w:rFonts w:ascii="Morningstar 1" w:hAnsi="Morningstar 1" w:cs="Morningstar1Light"/>
          <w:sz w:val="22"/>
          <w:szCs w:val="22"/>
        </w:rPr>
        <w:t>recent</w:t>
      </w:r>
      <w:r w:rsidR="00923109" w:rsidRPr="009C6816">
        <w:rPr>
          <w:rFonts w:ascii="Morningstar 1" w:hAnsi="Morningstar 1" w:cs="Morningstar1Light"/>
          <w:sz w:val="22"/>
          <w:szCs w:val="22"/>
        </w:rPr>
        <w:t xml:space="preserve"> portfolio changes. The positioning reflects </w:t>
      </w:r>
      <w:r>
        <w:rPr>
          <w:rFonts w:ascii="Morningstar 1" w:hAnsi="Morningstar 1" w:cs="Morningstar1Light"/>
          <w:sz w:val="22"/>
          <w:szCs w:val="22"/>
        </w:rPr>
        <w:t>Morningstar’s</w:t>
      </w:r>
      <w:r w:rsidRPr="009C6816">
        <w:rPr>
          <w:rFonts w:ascii="Morningstar 1" w:hAnsi="Morningstar 1" w:cs="Morningstar1Light"/>
          <w:sz w:val="22"/>
          <w:szCs w:val="22"/>
        </w:rPr>
        <w:t xml:space="preserve"> </w:t>
      </w:r>
      <w:r w:rsidR="00923109" w:rsidRPr="009C6816">
        <w:rPr>
          <w:rFonts w:ascii="Morningstar 1" w:hAnsi="Morningstar 1" w:cs="Morningstar1Light"/>
          <w:sz w:val="22"/>
          <w:szCs w:val="22"/>
        </w:rPr>
        <w:t>view of relative valuations and recent equity market strength.</w:t>
      </w:r>
    </w:p>
    <w:p w14:paraId="6ED8F6C6" w14:textId="77777777" w:rsidR="009C6816" w:rsidRPr="009C6816" w:rsidRDefault="009C6816" w:rsidP="00923109">
      <w:pPr>
        <w:rPr>
          <w:rFonts w:ascii="Morningstar 1" w:hAnsi="Morningstar 1" w:cs="Morningstar1Light"/>
          <w:sz w:val="22"/>
          <w:szCs w:val="22"/>
        </w:rPr>
      </w:pPr>
    </w:p>
    <w:p w14:paraId="1F2C25AB" w14:textId="4012C022" w:rsidR="00D65DCD" w:rsidRDefault="19A8714F" w:rsidP="00923109">
      <w:pPr>
        <w:rPr>
          <w:rFonts w:ascii="Morningstar 1" w:hAnsi="Morningstar 1" w:cs="Morningstar1Light"/>
          <w:sz w:val="22"/>
          <w:szCs w:val="22"/>
        </w:rPr>
      </w:pPr>
      <w:r w:rsidRPr="648E39AF">
        <w:rPr>
          <w:rFonts w:ascii="Morningstar 1" w:hAnsi="Morningstar 1" w:cs="Morningstar1Light"/>
          <w:sz w:val="22"/>
          <w:szCs w:val="22"/>
        </w:rPr>
        <w:t xml:space="preserve">Morningstar's preference for global </w:t>
      </w:r>
      <w:r w:rsidR="1AB7B5DA" w:rsidRPr="648E39AF">
        <w:rPr>
          <w:rFonts w:ascii="Morningstar 1" w:hAnsi="Morningstar 1" w:cs="Morningstar1Light"/>
          <w:sz w:val="22"/>
          <w:szCs w:val="22"/>
        </w:rPr>
        <w:t>over domestic equities</w:t>
      </w:r>
      <w:r w:rsidR="1302D8FE" w:rsidRPr="648E39AF">
        <w:rPr>
          <w:rFonts w:ascii="Morningstar 1" w:hAnsi="Morningstar 1" w:cs="Morningstar1Light"/>
          <w:sz w:val="22"/>
          <w:szCs w:val="22"/>
        </w:rPr>
        <w:t xml:space="preserve"> </w:t>
      </w:r>
      <w:r w:rsidRPr="648E39AF">
        <w:rPr>
          <w:rFonts w:ascii="Morningstar 1" w:hAnsi="Morningstar 1" w:cs="Morningstar1Light"/>
          <w:sz w:val="22"/>
          <w:szCs w:val="22"/>
        </w:rPr>
        <w:t xml:space="preserve">persists, contributing to the </w:t>
      </w:r>
      <w:r w:rsidR="0C761A59" w:rsidRPr="648E39AF">
        <w:rPr>
          <w:rFonts w:ascii="Morningstar 1" w:hAnsi="Morningstar 1" w:cs="Morningstar1Light"/>
          <w:sz w:val="22"/>
          <w:szCs w:val="22"/>
        </w:rPr>
        <w:t xml:space="preserve">sector </w:t>
      </w:r>
      <w:r w:rsidRPr="648E39AF">
        <w:rPr>
          <w:rFonts w:ascii="Morningstar 1" w:hAnsi="Morningstar 1" w:cs="Morningstar1Light"/>
          <w:sz w:val="22"/>
          <w:szCs w:val="22"/>
        </w:rPr>
        <w:t>diversification of your portfolio. Although overall exposure to equities has been increased</w:t>
      </w:r>
      <w:r w:rsidR="1A8971D8" w:rsidRPr="648E39AF">
        <w:rPr>
          <w:rFonts w:ascii="Morningstar 1" w:hAnsi="Morningstar 1" w:cs="Morningstar1Light"/>
          <w:sz w:val="22"/>
          <w:szCs w:val="22"/>
        </w:rPr>
        <w:t xml:space="preserve"> as part of the new SAA</w:t>
      </w:r>
      <w:r w:rsidRPr="648E39AF">
        <w:rPr>
          <w:rFonts w:ascii="Morningstar 1" w:hAnsi="Morningstar 1" w:cs="Morningstar1Light"/>
          <w:sz w:val="22"/>
          <w:szCs w:val="22"/>
        </w:rPr>
        <w:t xml:space="preserve">, </w:t>
      </w:r>
      <w:r w:rsidR="10A37CE4" w:rsidRPr="648E39AF">
        <w:rPr>
          <w:rFonts w:ascii="Morningstar 1" w:hAnsi="Morningstar 1" w:cs="Morningstar1Light"/>
          <w:sz w:val="22"/>
          <w:szCs w:val="22"/>
        </w:rPr>
        <w:t xml:space="preserve">stock </w:t>
      </w:r>
      <w:r w:rsidRPr="648E39AF">
        <w:rPr>
          <w:rFonts w:ascii="Morningstar 1" w:hAnsi="Morningstar 1" w:cs="Morningstar1Light"/>
          <w:sz w:val="22"/>
          <w:szCs w:val="22"/>
        </w:rPr>
        <w:t xml:space="preserve">allocations are </w:t>
      </w:r>
      <w:r w:rsidR="00C73B9A">
        <w:rPr>
          <w:rFonts w:ascii="Morningstar 1" w:hAnsi="Morningstar 1" w:cs="Morningstar1Light"/>
          <w:sz w:val="22"/>
          <w:szCs w:val="22"/>
        </w:rPr>
        <w:t>more diversified</w:t>
      </w:r>
      <w:r w:rsidRPr="648E39AF">
        <w:rPr>
          <w:rFonts w:ascii="Morningstar 1" w:hAnsi="Morningstar 1" w:cs="Morningstar1Light"/>
          <w:sz w:val="22"/>
          <w:szCs w:val="22"/>
        </w:rPr>
        <w:t xml:space="preserve"> due to prevailing high valuations</w:t>
      </w:r>
      <w:r w:rsidR="76227791" w:rsidRPr="648E39AF">
        <w:rPr>
          <w:rFonts w:ascii="Morningstar 1" w:hAnsi="Morningstar 1" w:cs="Morningstar1Light"/>
          <w:sz w:val="22"/>
          <w:szCs w:val="22"/>
        </w:rPr>
        <w:t xml:space="preserve"> of the market</w:t>
      </w:r>
      <w:r w:rsidRPr="648E39AF">
        <w:rPr>
          <w:rFonts w:ascii="Morningstar 1" w:hAnsi="Morningstar 1" w:cs="Morningstar1Light"/>
          <w:sz w:val="22"/>
          <w:szCs w:val="22"/>
        </w:rPr>
        <w:t xml:space="preserve">. </w:t>
      </w:r>
    </w:p>
    <w:p w14:paraId="27F6408A" w14:textId="77777777" w:rsidR="00985B11" w:rsidRDefault="00985B11" w:rsidP="00923109">
      <w:pPr>
        <w:rPr>
          <w:rFonts w:ascii="Morningstar 1" w:hAnsi="Morningstar 1" w:cs="Morningstar1Light"/>
          <w:sz w:val="22"/>
          <w:szCs w:val="22"/>
        </w:rPr>
      </w:pPr>
    </w:p>
    <w:p w14:paraId="1BA18292" w14:textId="2A61B9D6" w:rsidR="00985B11" w:rsidRDefault="6B5646BC" w:rsidP="00914849">
      <w:pPr>
        <w:spacing w:after="120"/>
        <w:rPr>
          <w:rFonts w:ascii="Morningstar 1" w:hAnsi="Morningstar 1" w:cs="Morningstar1Light"/>
          <w:sz w:val="22"/>
          <w:szCs w:val="22"/>
        </w:rPr>
      </w:pPr>
      <w:r w:rsidRPr="648E39AF">
        <w:rPr>
          <w:rFonts w:ascii="Morningstar 1" w:hAnsi="Morningstar 1" w:cs="Morningstar1Light"/>
          <w:sz w:val="22"/>
          <w:szCs w:val="22"/>
        </w:rPr>
        <w:t xml:space="preserve">The increase in equities has been funded from </w:t>
      </w:r>
      <w:r w:rsidR="19A8714F" w:rsidRPr="648E39AF">
        <w:rPr>
          <w:rFonts w:ascii="Morningstar 1" w:hAnsi="Morningstar 1" w:cs="Morningstar1Light"/>
          <w:sz w:val="22"/>
          <w:szCs w:val="22"/>
        </w:rPr>
        <w:t xml:space="preserve">property and </w:t>
      </w:r>
      <w:r w:rsidR="00C73B9A" w:rsidRPr="648E39AF">
        <w:rPr>
          <w:rFonts w:ascii="Morningstar 1" w:hAnsi="Morningstar 1" w:cs="Morningstar1Light"/>
          <w:sz w:val="22"/>
          <w:szCs w:val="22"/>
        </w:rPr>
        <w:t>infrastructure,</w:t>
      </w:r>
      <w:r w:rsidR="19A8714F" w:rsidRPr="648E39AF">
        <w:rPr>
          <w:rFonts w:ascii="Morningstar 1" w:hAnsi="Morningstar 1" w:cs="Morningstar1Light"/>
          <w:sz w:val="22"/>
          <w:szCs w:val="22"/>
        </w:rPr>
        <w:t xml:space="preserve"> with some reductions made while maintaining a prudent level of exposure to capitalize on current opportunities.</w:t>
      </w:r>
    </w:p>
    <w:p w14:paraId="1CF19B4B" w14:textId="4D38EB23" w:rsidR="009728FB" w:rsidRPr="009C6816" w:rsidRDefault="009728FB" w:rsidP="00914849">
      <w:pPr>
        <w:spacing w:after="120"/>
        <w:rPr>
          <w:rFonts w:ascii="Morningstar 1" w:eastAsia="Calibri" w:hAnsi="Morningstar 1"/>
          <w:sz w:val="22"/>
          <w:szCs w:val="22"/>
        </w:rPr>
      </w:pPr>
      <w:r w:rsidRPr="009C6816">
        <w:rPr>
          <w:rFonts w:ascii="Morningstar 1" w:eastAsia="Calibri" w:hAnsi="Morningstar 1"/>
          <w:sz w:val="22"/>
          <w:szCs w:val="22"/>
        </w:rPr>
        <w:t>As always, please let me know if you have any questions or if I can be of any assistance.</w:t>
      </w:r>
    </w:p>
    <w:p w14:paraId="591251DE" w14:textId="77777777" w:rsidR="00EE7698" w:rsidRPr="009C6816" w:rsidRDefault="00EE7698" w:rsidP="00914849">
      <w:pPr>
        <w:spacing w:after="120"/>
        <w:rPr>
          <w:rFonts w:ascii="Morningstar 1" w:eastAsia="Calibri" w:hAnsi="Morningstar 1"/>
          <w:sz w:val="22"/>
          <w:szCs w:val="22"/>
        </w:rPr>
      </w:pPr>
    </w:p>
    <w:p w14:paraId="7FE39897" w14:textId="56F4E011" w:rsidR="009728FB" w:rsidRPr="009C6816" w:rsidRDefault="009728FB" w:rsidP="00914849">
      <w:pPr>
        <w:spacing w:after="120"/>
        <w:rPr>
          <w:rFonts w:ascii="Morningstar 1" w:eastAsia="Calibri" w:hAnsi="Morningstar 1"/>
          <w:sz w:val="22"/>
          <w:szCs w:val="22"/>
        </w:rPr>
      </w:pPr>
      <w:r w:rsidRPr="009C6816">
        <w:rPr>
          <w:rFonts w:ascii="Morningstar 1" w:eastAsia="Calibri" w:hAnsi="Morningstar 1"/>
          <w:sz w:val="22"/>
          <w:szCs w:val="22"/>
        </w:rPr>
        <w:t>Regards</w:t>
      </w:r>
      <w:r w:rsidR="546CCC1D" w:rsidRPr="5CF6815B">
        <w:rPr>
          <w:rFonts w:ascii="Morningstar 1" w:eastAsia="Calibri" w:hAnsi="Morningstar 1"/>
          <w:sz w:val="22"/>
          <w:szCs w:val="22"/>
        </w:rPr>
        <w:t>,</w:t>
      </w:r>
    </w:p>
    <w:p w14:paraId="14317220" w14:textId="6FFF9B5D" w:rsidR="5CF6815B" w:rsidRDefault="5CF6815B" w:rsidP="5CF6815B">
      <w:pPr>
        <w:spacing w:after="120"/>
        <w:rPr>
          <w:rFonts w:ascii="Morningstar 1" w:eastAsia="Calibri" w:hAnsi="Morningstar 1"/>
          <w:sz w:val="22"/>
          <w:szCs w:val="22"/>
        </w:rPr>
      </w:pPr>
    </w:p>
    <w:p w14:paraId="5948132A" w14:textId="77777777" w:rsidR="007C57DC" w:rsidRDefault="009728FB" w:rsidP="007C57DC">
      <w:pPr>
        <w:spacing w:after="120"/>
        <w:rPr>
          <w:rFonts w:ascii="Morningstar 1" w:eastAsia="Calibri" w:hAnsi="Morningstar 1"/>
          <w:sz w:val="22"/>
          <w:szCs w:val="22"/>
        </w:rPr>
      </w:pPr>
      <w:r w:rsidRPr="009C6816">
        <w:rPr>
          <w:rFonts w:ascii="Morningstar 1" w:eastAsia="Calibri" w:hAnsi="Morningstar 1"/>
          <w:sz w:val="22"/>
          <w:szCs w:val="22"/>
        </w:rPr>
        <w:t>Adviser</w:t>
      </w:r>
    </w:p>
    <w:p w14:paraId="170B3156" w14:textId="77777777" w:rsidR="006107F8" w:rsidRDefault="006107F8" w:rsidP="007C57DC">
      <w:pPr>
        <w:spacing w:after="120"/>
        <w:rPr>
          <w:rFonts w:ascii="Morningstar 1" w:eastAsia="Calibri" w:hAnsi="Morningstar 1"/>
          <w:sz w:val="22"/>
          <w:szCs w:val="22"/>
        </w:rPr>
      </w:pPr>
    </w:p>
    <w:p w14:paraId="2DB36D38" w14:textId="77777777" w:rsidR="006107F8" w:rsidRPr="009C6816" w:rsidRDefault="006107F8" w:rsidP="007C57DC">
      <w:pPr>
        <w:spacing w:after="120"/>
        <w:rPr>
          <w:rFonts w:ascii="Morningstar 1" w:eastAsia="Calibri" w:hAnsi="Morningstar 1"/>
          <w:sz w:val="22"/>
          <w:szCs w:val="22"/>
        </w:rPr>
      </w:pPr>
    </w:p>
    <w:p w14:paraId="66BC46E7" w14:textId="06507FEB" w:rsidR="007135D6" w:rsidRPr="009C6816" w:rsidRDefault="00C44CFF" w:rsidP="007C57DC">
      <w:pPr>
        <w:spacing w:after="120"/>
        <w:rPr>
          <w:rFonts w:ascii="Morningstar 1" w:eastAsia="Calibri" w:hAnsi="Morningstar 1"/>
          <w:sz w:val="22"/>
          <w:szCs w:val="22"/>
        </w:rPr>
      </w:pPr>
      <w:r w:rsidRPr="009C6816">
        <w:rPr>
          <w:rFonts w:ascii="Morningstar 1" w:eastAsia="Calibri" w:hAnsi="Morningstar 1"/>
          <w:b/>
          <w:bCs/>
          <w:color w:val="FF0000"/>
          <w:sz w:val="22"/>
          <w:szCs w:val="22"/>
        </w:rPr>
        <w:lastRenderedPageBreak/>
        <w:t>H</w:t>
      </w:r>
      <w:r w:rsidR="007135D6" w:rsidRPr="009C6816">
        <w:rPr>
          <w:rFonts w:ascii="Morningstar 1" w:eastAsia="Calibri" w:hAnsi="Morningstar 1"/>
          <w:b/>
          <w:bCs/>
          <w:color w:val="FF0000"/>
          <w:sz w:val="22"/>
          <w:szCs w:val="22"/>
        </w:rPr>
        <w:t>igh Growth (90)</w:t>
      </w:r>
    </w:p>
    <w:p w14:paraId="2854E223" w14:textId="77777777" w:rsidR="00034EEE" w:rsidRDefault="00034EEE">
      <w:pPr>
        <w:spacing w:after="120" w:line="259" w:lineRule="auto"/>
        <w:rPr>
          <w:rFonts w:ascii="Morningstar 1" w:eastAsia="Calibri" w:hAnsi="Morningstar 1"/>
          <w:sz w:val="22"/>
          <w:szCs w:val="22"/>
        </w:rPr>
      </w:pPr>
      <w:r w:rsidRPr="009C6816">
        <w:rPr>
          <w:rFonts w:ascii="Morningstar 1" w:eastAsia="Calibri" w:hAnsi="Morningstar 1"/>
          <w:sz w:val="22"/>
          <w:szCs w:val="22"/>
        </w:rPr>
        <w:t>Dear Client,</w:t>
      </w:r>
    </w:p>
    <w:p w14:paraId="1F21EE05" w14:textId="77777777" w:rsidR="006107F8" w:rsidRPr="009C6816" w:rsidRDefault="006107F8" w:rsidP="006107F8">
      <w:pPr>
        <w:pStyle w:val="ListParagraph"/>
        <w:spacing w:after="120"/>
        <w:ind w:left="0"/>
        <w:contextualSpacing w:val="0"/>
        <w:rPr>
          <w:rFonts w:ascii="Morningstar 1" w:hAnsi="Morningstar 1"/>
          <w:lang w:val="en-AU"/>
        </w:rPr>
      </w:pPr>
      <w:r w:rsidRPr="002F762E">
        <w:rPr>
          <w:rFonts w:ascii="Morningstar 1" w:hAnsi="Morningstar 1"/>
          <w:lang w:val="en-AU"/>
        </w:rPr>
        <w:t xml:space="preserve">Morningstar has updated the Morningstar Medalist Core Portfolios in April. These changes aim to reflect </w:t>
      </w:r>
      <w:r>
        <w:rPr>
          <w:rFonts w:ascii="Morningstar 1" w:hAnsi="Morningstar 1"/>
          <w:lang w:val="en-AU"/>
        </w:rPr>
        <w:t>their</w:t>
      </w:r>
      <w:r w:rsidRPr="002F762E">
        <w:rPr>
          <w:rFonts w:ascii="Morningstar 1" w:hAnsi="Morningstar 1"/>
          <w:lang w:val="en-AU"/>
        </w:rPr>
        <w:t xml:space="preserve"> top ideas in terms of asset allocation, manager selection, and manager allocation. </w:t>
      </w:r>
    </w:p>
    <w:p w14:paraId="123659F6" w14:textId="1A886BDF" w:rsidR="00484249" w:rsidRPr="009C6816" w:rsidRDefault="00484249" w:rsidP="00484249">
      <w:pPr>
        <w:pStyle w:val="ListParagraph"/>
        <w:spacing w:after="120"/>
        <w:ind w:left="0"/>
        <w:contextualSpacing w:val="0"/>
        <w:rPr>
          <w:rFonts w:ascii="Morningstar 1" w:eastAsia="Calibri" w:hAnsi="Morningstar 1"/>
        </w:rPr>
      </w:pPr>
      <w:r w:rsidRPr="009C6816">
        <w:rPr>
          <w:rFonts w:ascii="Morningstar 1" w:eastAsia="Calibri" w:hAnsi="Morningstar 1"/>
        </w:rPr>
        <w:t xml:space="preserve">I have summarised these trades below: </w:t>
      </w:r>
    </w:p>
    <w:p w14:paraId="61B79D03" w14:textId="5F22F705" w:rsidR="00D43A6F" w:rsidRPr="009C6816" w:rsidRDefault="00D43A6F" w:rsidP="6F1C86C4">
      <w:pPr>
        <w:rPr>
          <w:rFonts w:ascii="Morningstar 1" w:hAnsi="Morningstar 1"/>
          <w:sz w:val="22"/>
          <w:szCs w:val="22"/>
        </w:rPr>
      </w:pPr>
    </w:p>
    <w:tbl>
      <w:tblPr>
        <w:tblW w:w="7174" w:type="dxa"/>
        <w:jc w:val="center"/>
        <w:tblLook w:val="04A0" w:firstRow="1" w:lastRow="0" w:firstColumn="1" w:lastColumn="0" w:noHBand="0" w:noVBand="1"/>
      </w:tblPr>
      <w:tblGrid>
        <w:gridCol w:w="4672"/>
        <w:gridCol w:w="2185"/>
        <w:gridCol w:w="317"/>
      </w:tblGrid>
      <w:tr w:rsidR="005042C4" w:rsidRPr="00AE19BD" w14:paraId="0FC38F39" w14:textId="77777777" w:rsidTr="00DE40AF">
        <w:trPr>
          <w:gridAfter w:val="1"/>
          <w:wAfter w:w="317" w:type="dxa"/>
          <w:trHeight w:val="517"/>
          <w:jc w:val="center"/>
        </w:trPr>
        <w:tc>
          <w:tcPr>
            <w:tcW w:w="4672" w:type="dxa"/>
            <w:vMerge w:val="restart"/>
            <w:tcBorders>
              <w:top w:val="single" w:sz="8" w:space="0" w:color="auto"/>
              <w:left w:val="nil"/>
              <w:bottom w:val="single" w:sz="8" w:space="0" w:color="000000"/>
              <w:right w:val="nil"/>
            </w:tcBorders>
            <w:shd w:val="clear" w:color="000000" w:fill="D9D9D9"/>
            <w:vAlign w:val="center"/>
            <w:hideMark/>
          </w:tcPr>
          <w:p w14:paraId="3C2F4C6B" w14:textId="77777777" w:rsidR="005042C4" w:rsidRPr="00AE19BD" w:rsidRDefault="005042C4">
            <w:pPr>
              <w:rPr>
                <w:rFonts w:ascii="Morningstar 1" w:eastAsia="Times New Roman" w:hAnsi="Morningstar 1" w:cs="Calibri"/>
                <w:b/>
                <w:bCs/>
                <w:color w:val="000000"/>
                <w:sz w:val="22"/>
                <w:szCs w:val="22"/>
                <w:lang w:eastAsia="en-AU"/>
              </w:rPr>
            </w:pPr>
            <w:r w:rsidRPr="00AE19BD">
              <w:rPr>
                <w:rFonts w:ascii="Morningstar 1" w:eastAsia="Times New Roman" w:hAnsi="Morningstar 1" w:cs="Calibri"/>
                <w:b/>
                <w:bCs/>
                <w:color w:val="000000"/>
                <w:sz w:val="22"/>
                <w:szCs w:val="22"/>
                <w:lang w:eastAsia="en-AU"/>
              </w:rPr>
              <w:t xml:space="preserve">Security </w:t>
            </w:r>
          </w:p>
        </w:tc>
        <w:tc>
          <w:tcPr>
            <w:tcW w:w="2185" w:type="dxa"/>
            <w:vMerge w:val="restart"/>
            <w:tcBorders>
              <w:top w:val="single" w:sz="8" w:space="0" w:color="auto"/>
              <w:left w:val="nil"/>
              <w:bottom w:val="single" w:sz="8" w:space="0" w:color="000000"/>
              <w:right w:val="nil"/>
            </w:tcBorders>
            <w:shd w:val="clear" w:color="000000" w:fill="D9D9D9"/>
            <w:vAlign w:val="center"/>
            <w:hideMark/>
          </w:tcPr>
          <w:p w14:paraId="55CF60DB" w14:textId="34E71D76" w:rsidR="005042C4" w:rsidRPr="00AE19BD" w:rsidRDefault="00F82EAE">
            <w:pPr>
              <w:jc w:val="center"/>
              <w:rPr>
                <w:rFonts w:ascii="Morningstar 1" w:eastAsia="Times New Roman" w:hAnsi="Morningstar 1" w:cs="Calibri"/>
                <w:b/>
                <w:bCs/>
                <w:color w:val="000000"/>
                <w:sz w:val="22"/>
                <w:szCs w:val="22"/>
                <w:lang w:eastAsia="en-AU"/>
              </w:rPr>
            </w:pPr>
            <w:r w:rsidRPr="00AE19BD">
              <w:rPr>
                <w:rFonts w:ascii="Morningstar 1" w:eastAsia="Times New Roman" w:hAnsi="Morningstar 1" w:cs="Calibri"/>
                <w:b/>
                <w:bCs/>
                <w:color w:val="000000"/>
                <w:sz w:val="22"/>
                <w:szCs w:val="22"/>
                <w:lang w:eastAsia="en-AU"/>
              </w:rPr>
              <w:t>Portfolio Action</w:t>
            </w:r>
          </w:p>
        </w:tc>
      </w:tr>
      <w:tr w:rsidR="005042C4" w:rsidRPr="00AE19BD" w14:paraId="504ECD15" w14:textId="77777777" w:rsidTr="00DE40AF">
        <w:trPr>
          <w:trHeight w:val="59"/>
          <w:jc w:val="center"/>
        </w:trPr>
        <w:tc>
          <w:tcPr>
            <w:tcW w:w="4672" w:type="dxa"/>
            <w:vMerge/>
            <w:tcBorders>
              <w:top w:val="single" w:sz="8" w:space="0" w:color="auto"/>
              <w:left w:val="nil"/>
              <w:bottom w:val="single" w:sz="8" w:space="0" w:color="000000"/>
              <w:right w:val="nil"/>
            </w:tcBorders>
            <w:vAlign w:val="center"/>
            <w:hideMark/>
          </w:tcPr>
          <w:p w14:paraId="5C5A3321" w14:textId="77777777" w:rsidR="005042C4" w:rsidRPr="00AE19BD" w:rsidRDefault="005042C4">
            <w:pPr>
              <w:rPr>
                <w:rFonts w:ascii="Morningstar 1" w:eastAsia="Times New Roman" w:hAnsi="Morningstar 1" w:cs="Calibri"/>
                <w:b/>
                <w:bCs/>
                <w:color w:val="000000"/>
                <w:sz w:val="22"/>
                <w:szCs w:val="22"/>
                <w:lang w:eastAsia="en-AU"/>
              </w:rPr>
            </w:pPr>
          </w:p>
        </w:tc>
        <w:tc>
          <w:tcPr>
            <w:tcW w:w="2185" w:type="dxa"/>
            <w:vMerge/>
            <w:tcBorders>
              <w:top w:val="single" w:sz="8" w:space="0" w:color="auto"/>
              <w:left w:val="nil"/>
              <w:bottom w:val="single" w:sz="8" w:space="0" w:color="000000"/>
              <w:right w:val="nil"/>
            </w:tcBorders>
            <w:vAlign w:val="center"/>
            <w:hideMark/>
          </w:tcPr>
          <w:p w14:paraId="2DDA0ECB" w14:textId="77777777" w:rsidR="005042C4" w:rsidRPr="00AE19BD" w:rsidRDefault="005042C4">
            <w:pPr>
              <w:rPr>
                <w:rFonts w:ascii="Morningstar 1" w:eastAsia="Times New Roman" w:hAnsi="Morningstar 1" w:cs="Calibri"/>
                <w:b/>
                <w:bCs/>
                <w:color w:val="000000"/>
                <w:sz w:val="22"/>
                <w:szCs w:val="22"/>
                <w:lang w:eastAsia="en-AU"/>
              </w:rPr>
            </w:pPr>
          </w:p>
        </w:tc>
        <w:tc>
          <w:tcPr>
            <w:tcW w:w="317" w:type="dxa"/>
            <w:tcBorders>
              <w:top w:val="nil"/>
              <w:left w:val="nil"/>
              <w:bottom w:val="nil"/>
              <w:right w:val="nil"/>
            </w:tcBorders>
            <w:shd w:val="clear" w:color="auto" w:fill="auto"/>
            <w:noWrap/>
            <w:vAlign w:val="bottom"/>
            <w:hideMark/>
          </w:tcPr>
          <w:p w14:paraId="21763EAA" w14:textId="77777777" w:rsidR="005042C4" w:rsidRPr="00AE19BD" w:rsidRDefault="005042C4">
            <w:pPr>
              <w:jc w:val="center"/>
              <w:rPr>
                <w:rFonts w:ascii="Morningstar 1" w:eastAsia="Times New Roman" w:hAnsi="Morningstar 1" w:cs="Calibri"/>
                <w:b/>
                <w:bCs/>
                <w:color w:val="000000"/>
                <w:sz w:val="22"/>
                <w:szCs w:val="22"/>
                <w:lang w:eastAsia="en-AU"/>
              </w:rPr>
            </w:pPr>
          </w:p>
        </w:tc>
      </w:tr>
      <w:tr w:rsidR="005042C4" w:rsidRPr="00AE19BD" w14:paraId="4A96AB29" w14:textId="77777777" w:rsidTr="00DE40AF">
        <w:trPr>
          <w:trHeight w:val="305"/>
          <w:jc w:val="center"/>
        </w:trPr>
        <w:tc>
          <w:tcPr>
            <w:tcW w:w="4672" w:type="dxa"/>
            <w:tcBorders>
              <w:top w:val="nil"/>
              <w:left w:val="nil"/>
              <w:bottom w:val="single" w:sz="8" w:space="0" w:color="auto"/>
              <w:right w:val="nil"/>
            </w:tcBorders>
            <w:shd w:val="clear" w:color="000000" w:fill="F2F2F2"/>
            <w:vAlign w:val="center"/>
            <w:hideMark/>
          </w:tcPr>
          <w:p w14:paraId="7A1E89D9" w14:textId="77777777" w:rsidR="005042C4" w:rsidRPr="00AE19BD" w:rsidRDefault="005042C4">
            <w:pPr>
              <w:rPr>
                <w:rFonts w:ascii="Morningstar 1" w:eastAsia="Times New Roman" w:hAnsi="Morningstar 1" w:cs="Calibri"/>
                <w:b/>
                <w:bCs/>
                <w:color w:val="000000"/>
                <w:sz w:val="22"/>
                <w:szCs w:val="22"/>
                <w:lang w:eastAsia="en-AU"/>
              </w:rPr>
            </w:pPr>
            <w:r w:rsidRPr="00AE19BD">
              <w:rPr>
                <w:rFonts w:ascii="Morningstar 1" w:eastAsia="Times New Roman" w:hAnsi="Morningstar 1" w:cs="Calibri"/>
                <w:b/>
                <w:bCs/>
                <w:color w:val="000000"/>
                <w:sz w:val="22"/>
                <w:szCs w:val="22"/>
                <w:lang w:eastAsia="en-AU"/>
              </w:rPr>
              <w:t>Australian Shares</w:t>
            </w:r>
          </w:p>
        </w:tc>
        <w:tc>
          <w:tcPr>
            <w:tcW w:w="2185" w:type="dxa"/>
            <w:tcBorders>
              <w:top w:val="nil"/>
              <w:left w:val="nil"/>
              <w:bottom w:val="single" w:sz="8" w:space="0" w:color="auto"/>
              <w:right w:val="nil"/>
            </w:tcBorders>
            <w:shd w:val="clear" w:color="000000" w:fill="F2F2F2"/>
            <w:vAlign w:val="center"/>
            <w:hideMark/>
          </w:tcPr>
          <w:p w14:paraId="6EF9C4BA" w14:textId="77777777" w:rsidR="005042C4" w:rsidRPr="00AE19BD" w:rsidRDefault="005042C4">
            <w:pPr>
              <w:jc w:val="center"/>
              <w:rPr>
                <w:rFonts w:ascii="Morningstar 1" w:eastAsia="Times New Roman" w:hAnsi="Morningstar 1" w:cs="Calibri"/>
                <w:b/>
                <w:bCs/>
                <w:color w:val="00B050"/>
                <w:sz w:val="22"/>
                <w:szCs w:val="22"/>
                <w:lang w:eastAsia="en-AU"/>
              </w:rPr>
            </w:pPr>
            <w:r w:rsidRPr="00AE19BD">
              <w:rPr>
                <w:rFonts w:ascii="Morningstar 1" w:eastAsia="Times New Roman" w:hAnsi="Morningstar 1" w:cs="Calibri"/>
                <w:b/>
                <w:bCs/>
                <w:color w:val="00B050"/>
                <w:sz w:val="22"/>
                <w:szCs w:val="22"/>
                <w:lang w:eastAsia="en-AU"/>
              </w:rPr>
              <w:t> </w:t>
            </w:r>
          </w:p>
        </w:tc>
        <w:tc>
          <w:tcPr>
            <w:tcW w:w="317" w:type="dxa"/>
            <w:vAlign w:val="center"/>
            <w:hideMark/>
          </w:tcPr>
          <w:p w14:paraId="7EFCFD84" w14:textId="77777777" w:rsidR="005042C4" w:rsidRPr="00AE19BD" w:rsidRDefault="005042C4">
            <w:pPr>
              <w:rPr>
                <w:rFonts w:ascii="Morningstar 1" w:eastAsia="Times New Roman" w:hAnsi="Morningstar 1"/>
                <w:sz w:val="22"/>
                <w:szCs w:val="22"/>
                <w:lang w:eastAsia="en-AU"/>
              </w:rPr>
            </w:pPr>
          </w:p>
        </w:tc>
      </w:tr>
      <w:tr w:rsidR="005042C4" w:rsidRPr="00AE19BD" w14:paraId="202D0BB4" w14:textId="77777777" w:rsidTr="00DE40AF">
        <w:trPr>
          <w:trHeight w:val="305"/>
          <w:jc w:val="center"/>
        </w:trPr>
        <w:tc>
          <w:tcPr>
            <w:tcW w:w="4672" w:type="dxa"/>
            <w:tcBorders>
              <w:top w:val="nil"/>
              <w:left w:val="nil"/>
              <w:bottom w:val="single" w:sz="8" w:space="0" w:color="auto"/>
              <w:right w:val="nil"/>
            </w:tcBorders>
            <w:shd w:val="clear" w:color="auto" w:fill="auto"/>
            <w:noWrap/>
            <w:vAlign w:val="center"/>
            <w:hideMark/>
          </w:tcPr>
          <w:p w14:paraId="113127A1" w14:textId="77777777" w:rsidR="005042C4" w:rsidRPr="00AE19BD" w:rsidRDefault="005042C4">
            <w:pPr>
              <w:rPr>
                <w:rFonts w:ascii="Morningstar 1" w:eastAsia="Times New Roman" w:hAnsi="Morningstar 1" w:cs="Calibri"/>
                <w:color w:val="000000"/>
                <w:sz w:val="22"/>
                <w:szCs w:val="22"/>
                <w:lang w:eastAsia="en-AU"/>
              </w:rPr>
            </w:pPr>
            <w:r w:rsidRPr="00AE19BD">
              <w:rPr>
                <w:rFonts w:ascii="Morningstar 1" w:eastAsia="Times New Roman" w:hAnsi="Morningstar 1" w:cs="Calibri"/>
                <w:color w:val="000000"/>
                <w:sz w:val="22"/>
                <w:szCs w:val="22"/>
                <w:lang w:eastAsia="en-AU"/>
              </w:rPr>
              <w:t>DNR Capital Australian Emerging Coms</w:t>
            </w:r>
          </w:p>
        </w:tc>
        <w:tc>
          <w:tcPr>
            <w:tcW w:w="2185" w:type="dxa"/>
            <w:tcBorders>
              <w:top w:val="nil"/>
              <w:left w:val="nil"/>
              <w:bottom w:val="single" w:sz="8" w:space="0" w:color="auto"/>
              <w:right w:val="nil"/>
            </w:tcBorders>
            <w:shd w:val="clear" w:color="auto" w:fill="auto"/>
            <w:vAlign w:val="center"/>
            <w:hideMark/>
          </w:tcPr>
          <w:p w14:paraId="10AB0B0A" w14:textId="46DDE24E" w:rsidR="005042C4" w:rsidRPr="00AE19BD" w:rsidRDefault="00F8547A">
            <w:pPr>
              <w:jc w:val="center"/>
              <w:rPr>
                <w:rFonts w:ascii="Morningstar 1" w:eastAsia="Times New Roman" w:hAnsi="Morningstar 1" w:cs="Calibri"/>
                <w:b/>
                <w:bCs/>
                <w:color w:val="00B050"/>
                <w:sz w:val="22"/>
                <w:szCs w:val="22"/>
                <w:lang w:eastAsia="en-AU"/>
              </w:rPr>
            </w:pPr>
            <w:r w:rsidRPr="00AE19BD">
              <w:rPr>
                <w:rFonts w:ascii="Morningstar 1" w:eastAsia="Times New Roman" w:hAnsi="Morningstar 1" w:cs="Calibri"/>
                <w:b/>
                <w:bCs/>
                <w:color w:val="00B050"/>
                <w:sz w:val="22"/>
                <w:szCs w:val="22"/>
                <w:lang w:eastAsia="en-AU"/>
              </w:rPr>
              <w:t>Increase</w:t>
            </w:r>
          </w:p>
        </w:tc>
        <w:tc>
          <w:tcPr>
            <w:tcW w:w="317" w:type="dxa"/>
            <w:vAlign w:val="center"/>
            <w:hideMark/>
          </w:tcPr>
          <w:p w14:paraId="0CD345E5" w14:textId="77777777" w:rsidR="005042C4" w:rsidRPr="00AE19BD" w:rsidRDefault="005042C4">
            <w:pPr>
              <w:rPr>
                <w:rFonts w:ascii="Morningstar 1" w:eastAsia="Times New Roman" w:hAnsi="Morningstar 1"/>
                <w:sz w:val="22"/>
                <w:szCs w:val="22"/>
                <w:lang w:eastAsia="en-AU"/>
              </w:rPr>
            </w:pPr>
          </w:p>
        </w:tc>
      </w:tr>
      <w:tr w:rsidR="005042C4" w:rsidRPr="00AE19BD" w14:paraId="05E44168" w14:textId="77777777" w:rsidTr="00DE40AF">
        <w:trPr>
          <w:trHeight w:val="305"/>
          <w:jc w:val="center"/>
        </w:trPr>
        <w:tc>
          <w:tcPr>
            <w:tcW w:w="4672" w:type="dxa"/>
            <w:tcBorders>
              <w:top w:val="nil"/>
              <w:left w:val="nil"/>
              <w:bottom w:val="single" w:sz="8" w:space="0" w:color="auto"/>
              <w:right w:val="nil"/>
            </w:tcBorders>
            <w:shd w:val="clear" w:color="auto" w:fill="auto"/>
            <w:noWrap/>
            <w:vAlign w:val="center"/>
            <w:hideMark/>
          </w:tcPr>
          <w:p w14:paraId="7B26C3FD" w14:textId="77777777" w:rsidR="005042C4" w:rsidRPr="00AE19BD" w:rsidRDefault="005042C4">
            <w:pPr>
              <w:rPr>
                <w:rFonts w:ascii="Morningstar 1" w:eastAsia="Times New Roman" w:hAnsi="Morningstar 1" w:cs="Calibri"/>
                <w:color w:val="000000"/>
                <w:sz w:val="22"/>
                <w:szCs w:val="22"/>
                <w:lang w:eastAsia="en-AU"/>
              </w:rPr>
            </w:pPr>
            <w:r w:rsidRPr="00AE19BD">
              <w:rPr>
                <w:rFonts w:ascii="Morningstar 1" w:eastAsia="Times New Roman" w:hAnsi="Morningstar 1" w:cs="Calibri"/>
                <w:color w:val="000000"/>
                <w:sz w:val="22"/>
                <w:szCs w:val="22"/>
                <w:lang w:eastAsia="en-AU"/>
              </w:rPr>
              <w:t>Schroder WS Australian Equity Fund - WC</w:t>
            </w:r>
          </w:p>
        </w:tc>
        <w:tc>
          <w:tcPr>
            <w:tcW w:w="2185" w:type="dxa"/>
            <w:tcBorders>
              <w:top w:val="nil"/>
              <w:left w:val="nil"/>
              <w:bottom w:val="single" w:sz="8" w:space="0" w:color="auto"/>
              <w:right w:val="nil"/>
            </w:tcBorders>
            <w:shd w:val="clear" w:color="auto" w:fill="auto"/>
            <w:vAlign w:val="center"/>
            <w:hideMark/>
          </w:tcPr>
          <w:p w14:paraId="2A2AE83B" w14:textId="493FA7B2" w:rsidR="005042C4" w:rsidRPr="00AE19BD" w:rsidRDefault="00F8547A">
            <w:pPr>
              <w:jc w:val="center"/>
              <w:rPr>
                <w:rFonts w:ascii="Morningstar 1" w:eastAsia="Times New Roman" w:hAnsi="Morningstar 1" w:cs="Calibri"/>
                <w:b/>
                <w:bCs/>
                <w:color w:val="00B050"/>
                <w:sz w:val="22"/>
                <w:szCs w:val="22"/>
                <w:lang w:eastAsia="en-AU"/>
              </w:rPr>
            </w:pPr>
            <w:r w:rsidRPr="00AE19BD">
              <w:rPr>
                <w:rFonts w:ascii="Morningstar 1" w:eastAsia="Times New Roman" w:hAnsi="Morningstar 1" w:cs="Calibri"/>
                <w:b/>
                <w:bCs/>
                <w:color w:val="00B050"/>
                <w:sz w:val="22"/>
                <w:szCs w:val="22"/>
                <w:lang w:eastAsia="en-AU"/>
              </w:rPr>
              <w:t>Increase</w:t>
            </w:r>
          </w:p>
        </w:tc>
        <w:tc>
          <w:tcPr>
            <w:tcW w:w="317" w:type="dxa"/>
            <w:vAlign w:val="center"/>
            <w:hideMark/>
          </w:tcPr>
          <w:p w14:paraId="4B1BD5C2" w14:textId="77777777" w:rsidR="005042C4" w:rsidRPr="00AE19BD" w:rsidRDefault="005042C4">
            <w:pPr>
              <w:rPr>
                <w:rFonts w:ascii="Morningstar 1" w:eastAsia="Times New Roman" w:hAnsi="Morningstar 1"/>
                <w:sz w:val="22"/>
                <w:szCs w:val="22"/>
                <w:lang w:eastAsia="en-AU"/>
              </w:rPr>
            </w:pPr>
          </w:p>
        </w:tc>
      </w:tr>
      <w:tr w:rsidR="005042C4" w:rsidRPr="00AE19BD" w14:paraId="03220C9A" w14:textId="77777777" w:rsidTr="00DE40AF">
        <w:trPr>
          <w:trHeight w:val="305"/>
          <w:jc w:val="center"/>
        </w:trPr>
        <w:tc>
          <w:tcPr>
            <w:tcW w:w="4672" w:type="dxa"/>
            <w:tcBorders>
              <w:top w:val="nil"/>
              <w:left w:val="nil"/>
              <w:bottom w:val="single" w:sz="8" w:space="0" w:color="auto"/>
              <w:right w:val="nil"/>
            </w:tcBorders>
            <w:shd w:val="clear" w:color="auto" w:fill="auto"/>
            <w:noWrap/>
            <w:vAlign w:val="center"/>
            <w:hideMark/>
          </w:tcPr>
          <w:p w14:paraId="20ADE2AA" w14:textId="77777777" w:rsidR="005042C4" w:rsidRPr="00AE19BD" w:rsidRDefault="005042C4">
            <w:pPr>
              <w:rPr>
                <w:rFonts w:ascii="Morningstar 1" w:eastAsia="Times New Roman" w:hAnsi="Morningstar 1" w:cs="Calibri"/>
                <w:color w:val="000000"/>
                <w:sz w:val="22"/>
                <w:szCs w:val="22"/>
                <w:lang w:eastAsia="en-AU"/>
              </w:rPr>
            </w:pPr>
            <w:r w:rsidRPr="00AE19BD">
              <w:rPr>
                <w:rFonts w:ascii="Morningstar 1" w:eastAsia="Times New Roman" w:hAnsi="Morningstar 1" w:cs="Calibri"/>
                <w:color w:val="000000"/>
                <w:sz w:val="22"/>
                <w:szCs w:val="22"/>
                <w:lang w:eastAsia="en-AU"/>
              </w:rPr>
              <w:t>Platypus Australian Eqs Fd Instl Units</w:t>
            </w:r>
          </w:p>
        </w:tc>
        <w:tc>
          <w:tcPr>
            <w:tcW w:w="2185" w:type="dxa"/>
            <w:tcBorders>
              <w:top w:val="nil"/>
              <w:left w:val="nil"/>
              <w:bottom w:val="single" w:sz="8" w:space="0" w:color="auto"/>
              <w:right w:val="nil"/>
            </w:tcBorders>
            <w:shd w:val="clear" w:color="auto" w:fill="auto"/>
            <w:vAlign w:val="center"/>
            <w:hideMark/>
          </w:tcPr>
          <w:p w14:paraId="178D4129" w14:textId="2A113DF1" w:rsidR="005042C4" w:rsidRPr="00AE19BD" w:rsidRDefault="00F8547A">
            <w:pPr>
              <w:jc w:val="center"/>
              <w:rPr>
                <w:rFonts w:ascii="Morningstar 1" w:eastAsia="Times New Roman" w:hAnsi="Morningstar 1" w:cs="Calibri"/>
                <w:b/>
                <w:bCs/>
                <w:color w:val="00B050"/>
                <w:sz w:val="22"/>
                <w:szCs w:val="22"/>
                <w:lang w:eastAsia="en-AU"/>
              </w:rPr>
            </w:pPr>
            <w:r w:rsidRPr="00AE19BD">
              <w:rPr>
                <w:rFonts w:ascii="Morningstar 1" w:eastAsia="Times New Roman" w:hAnsi="Morningstar 1" w:cs="Calibri"/>
                <w:b/>
                <w:bCs/>
                <w:color w:val="00B050"/>
                <w:sz w:val="22"/>
                <w:szCs w:val="22"/>
                <w:lang w:eastAsia="en-AU"/>
              </w:rPr>
              <w:t>Increase</w:t>
            </w:r>
          </w:p>
        </w:tc>
        <w:tc>
          <w:tcPr>
            <w:tcW w:w="317" w:type="dxa"/>
            <w:vAlign w:val="center"/>
            <w:hideMark/>
          </w:tcPr>
          <w:p w14:paraId="210976DF" w14:textId="77777777" w:rsidR="005042C4" w:rsidRPr="00AE19BD" w:rsidRDefault="005042C4">
            <w:pPr>
              <w:rPr>
                <w:rFonts w:ascii="Morningstar 1" w:eastAsia="Times New Roman" w:hAnsi="Morningstar 1"/>
                <w:sz w:val="22"/>
                <w:szCs w:val="22"/>
                <w:lang w:eastAsia="en-AU"/>
              </w:rPr>
            </w:pPr>
          </w:p>
        </w:tc>
      </w:tr>
      <w:tr w:rsidR="005042C4" w:rsidRPr="00AE19BD" w14:paraId="332CCFE9" w14:textId="77777777" w:rsidTr="00DE40AF">
        <w:trPr>
          <w:trHeight w:val="305"/>
          <w:jc w:val="center"/>
        </w:trPr>
        <w:tc>
          <w:tcPr>
            <w:tcW w:w="4672" w:type="dxa"/>
            <w:tcBorders>
              <w:top w:val="nil"/>
              <w:left w:val="nil"/>
              <w:bottom w:val="single" w:sz="8" w:space="0" w:color="auto"/>
              <w:right w:val="nil"/>
            </w:tcBorders>
            <w:shd w:val="clear" w:color="000000" w:fill="F2F2F2"/>
            <w:vAlign w:val="center"/>
            <w:hideMark/>
          </w:tcPr>
          <w:p w14:paraId="4C4A1D47" w14:textId="77777777" w:rsidR="005042C4" w:rsidRPr="00AE19BD" w:rsidRDefault="005042C4">
            <w:pPr>
              <w:rPr>
                <w:rFonts w:ascii="Morningstar 1" w:eastAsia="Times New Roman" w:hAnsi="Morningstar 1" w:cs="Calibri"/>
                <w:b/>
                <w:bCs/>
                <w:color w:val="000000"/>
                <w:sz w:val="22"/>
                <w:szCs w:val="22"/>
                <w:lang w:eastAsia="en-AU"/>
              </w:rPr>
            </w:pPr>
            <w:r w:rsidRPr="00AE19BD">
              <w:rPr>
                <w:rFonts w:ascii="Morningstar 1" w:eastAsia="Times New Roman" w:hAnsi="Morningstar 1" w:cs="Calibri"/>
                <w:b/>
                <w:bCs/>
                <w:color w:val="000000"/>
                <w:sz w:val="22"/>
                <w:szCs w:val="22"/>
                <w:lang w:eastAsia="en-AU"/>
              </w:rPr>
              <w:t>International Shares</w:t>
            </w:r>
          </w:p>
        </w:tc>
        <w:tc>
          <w:tcPr>
            <w:tcW w:w="2185" w:type="dxa"/>
            <w:tcBorders>
              <w:top w:val="nil"/>
              <w:left w:val="nil"/>
              <w:bottom w:val="single" w:sz="8" w:space="0" w:color="auto"/>
              <w:right w:val="nil"/>
            </w:tcBorders>
            <w:shd w:val="clear" w:color="000000" w:fill="F2F2F2"/>
            <w:vAlign w:val="center"/>
            <w:hideMark/>
          </w:tcPr>
          <w:p w14:paraId="76511460" w14:textId="77777777" w:rsidR="005042C4" w:rsidRPr="00AE19BD" w:rsidRDefault="005042C4">
            <w:pPr>
              <w:jc w:val="center"/>
              <w:rPr>
                <w:rFonts w:ascii="Morningstar 1" w:eastAsia="Times New Roman" w:hAnsi="Morningstar 1" w:cs="Calibri"/>
                <w:b/>
                <w:bCs/>
                <w:color w:val="00B050"/>
                <w:sz w:val="22"/>
                <w:szCs w:val="22"/>
                <w:lang w:eastAsia="en-AU"/>
              </w:rPr>
            </w:pPr>
            <w:r w:rsidRPr="00AE19BD">
              <w:rPr>
                <w:rFonts w:ascii="Morningstar 1" w:eastAsia="Times New Roman" w:hAnsi="Morningstar 1" w:cs="Calibri"/>
                <w:b/>
                <w:bCs/>
                <w:color w:val="00B050"/>
                <w:sz w:val="22"/>
                <w:szCs w:val="22"/>
                <w:lang w:eastAsia="en-AU"/>
              </w:rPr>
              <w:t> </w:t>
            </w:r>
          </w:p>
        </w:tc>
        <w:tc>
          <w:tcPr>
            <w:tcW w:w="317" w:type="dxa"/>
            <w:vAlign w:val="center"/>
            <w:hideMark/>
          </w:tcPr>
          <w:p w14:paraId="1F87AE0C" w14:textId="77777777" w:rsidR="005042C4" w:rsidRPr="00AE19BD" w:rsidRDefault="005042C4">
            <w:pPr>
              <w:rPr>
                <w:rFonts w:ascii="Morningstar 1" w:eastAsia="Times New Roman" w:hAnsi="Morningstar 1"/>
                <w:sz w:val="22"/>
                <w:szCs w:val="22"/>
                <w:lang w:eastAsia="en-AU"/>
              </w:rPr>
            </w:pPr>
          </w:p>
        </w:tc>
      </w:tr>
      <w:tr w:rsidR="005042C4" w:rsidRPr="00AE19BD" w14:paraId="4F51DFE5" w14:textId="77777777" w:rsidTr="00DE40AF">
        <w:trPr>
          <w:trHeight w:val="305"/>
          <w:jc w:val="center"/>
        </w:trPr>
        <w:tc>
          <w:tcPr>
            <w:tcW w:w="4672" w:type="dxa"/>
            <w:tcBorders>
              <w:top w:val="nil"/>
              <w:left w:val="nil"/>
              <w:bottom w:val="single" w:sz="8" w:space="0" w:color="auto"/>
              <w:right w:val="nil"/>
            </w:tcBorders>
            <w:shd w:val="clear" w:color="auto" w:fill="auto"/>
            <w:noWrap/>
            <w:vAlign w:val="center"/>
            <w:hideMark/>
          </w:tcPr>
          <w:p w14:paraId="5930F768" w14:textId="77777777" w:rsidR="005042C4" w:rsidRPr="00AE19BD" w:rsidRDefault="005042C4">
            <w:pPr>
              <w:rPr>
                <w:rFonts w:ascii="Morningstar 1" w:eastAsia="Times New Roman" w:hAnsi="Morningstar 1" w:cs="Calibri"/>
                <w:color w:val="000000"/>
                <w:sz w:val="22"/>
                <w:szCs w:val="22"/>
                <w:lang w:eastAsia="en-AU"/>
              </w:rPr>
            </w:pPr>
            <w:r w:rsidRPr="00AE19BD">
              <w:rPr>
                <w:rFonts w:ascii="Morningstar 1" w:eastAsia="Times New Roman" w:hAnsi="Morningstar 1" w:cs="Calibri"/>
                <w:color w:val="000000"/>
                <w:sz w:val="22"/>
                <w:szCs w:val="22"/>
                <w:lang w:eastAsia="en-AU"/>
              </w:rPr>
              <w:t>GQG Partners Global Equity AUD Hedged</w:t>
            </w:r>
          </w:p>
        </w:tc>
        <w:tc>
          <w:tcPr>
            <w:tcW w:w="2185" w:type="dxa"/>
            <w:tcBorders>
              <w:top w:val="nil"/>
              <w:left w:val="nil"/>
              <w:bottom w:val="single" w:sz="8" w:space="0" w:color="auto"/>
              <w:right w:val="nil"/>
            </w:tcBorders>
            <w:shd w:val="clear" w:color="auto" w:fill="auto"/>
            <w:vAlign w:val="center"/>
            <w:hideMark/>
          </w:tcPr>
          <w:p w14:paraId="1D62A0D2" w14:textId="72821E10" w:rsidR="005042C4" w:rsidRPr="00AE19BD" w:rsidRDefault="00F8547A">
            <w:pPr>
              <w:jc w:val="center"/>
              <w:rPr>
                <w:rFonts w:ascii="Morningstar 1" w:eastAsia="Times New Roman" w:hAnsi="Morningstar 1" w:cs="Calibri"/>
                <w:b/>
                <w:bCs/>
                <w:color w:val="FF0000"/>
                <w:sz w:val="22"/>
                <w:szCs w:val="22"/>
                <w:lang w:eastAsia="en-AU"/>
              </w:rPr>
            </w:pPr>
            <w:r w:rsidRPr="00AE19BD">
              <w:rPr>
                <w:rFonts w:ascii="Morningstar 1" w:eastAsia="Times New Roman" w:hAnsi="Morningstar 1" w:cs="Calibri"/>
                <w:b/>
                <w:bCs/>
                <w:color w:val="FF0000"/>
                <w:sz w:val="22"/>
                <w:szCs w:val="22"/>
                <w:lang w:eastAsia="en-AU"/>
              </w:rPr>
              <w:t>Decrease</w:t>
            </w:r>
          </w:p>
        </w:tc>
        <w:tc>
          <w:tcPr>
            <w:tcW w:w="317" w:type="dxa"/>
            <w:vAlign w:val="center"/>
            <w:hideMark/>
          </w:tcPr>
          <w:p w14:paraId="6BC06790" w14:textId="77777777" w:rsidR="005042C4" w:rsidRPr="00AE19BD" w:rsidRDefault="005042C4">
            <w:pPr>
              <w:rPr>
                <w:rFonts w:ascii="Morningstar 1" w:eastAsia="Times New Roman" w:hAnsi="Morningstar 1"/>
                <w:sz w:val="22"/>
                <w:szCs w:val="22"/>
                <w:lang w:eastAsia="en-AU"/>
              </w:rPr>
            </w:pPr>
          </w:p>
        </w:tc>
      </w:tr>
      <w:tr w:rsidR="005042C4" w:rsidRPr="00AE19BD" w14:paraId="5E35BDDC" w14:textId="77777777" w:rsidTr="00DE40AF">
        <w:trPr>
          <w:trHeight w:val="305"/>
          <w:jc w:val="center"/>
        </w:trPr>
        <w:tc>
          <w:tcPr>
            <w:tcW w:w="4672" w:type="dxa"/>
            <w:tcBorders>
              <w:top w:val="nil"/>
              <w:left w:val="nil"/>
              <w:bottom w:val="single" w:sz="8" w:space="0" w:color="auto"/>
              <w:right w:val="nil"/>
            </w:tcBorders>
            <w:shd w:val="clear" w:color="auto" w:fill="auto"/>
            <w:noWrap/>
            <w:vAlign w:val="center"/>
            <w:hideMark/>
          </w:tcPr>
          <w:p w14:paraId="13073347" w14:textId="77777777" w:rsidR="005042C4" w:rsidRPr="00AE19BD" w:rsidRDefault="005042C4">
            <w:pPr>
              <w:rPr>
                <w:rFonts w:ascii="Morningstar 1" w:eastAsia="Times New Roman" w:hAnsi="Morningstar 1" w:cs="Calibri"/>
                <w:color w:val="000000"/>
                <w:sz w:val="22"/>
                <w:szCs w:val="22"/>
                <w:lang w:eastAsia="en-AU"/>
              </w:rPr>
            </w:pPr>
            <w:r w:rsidRPr="00AE19BD">
              <w:rPr>
                <w:rFonts w:ascii="Morningstar 1" w:eastAsia="Times New Roman" w:hAnsi="Morningstar 1" w:cs="Calibri"/>
                <w:color w:val="000000"/>
                <w:sz w:val="22"/>
                <w:szCs w:val="22"/>
                <w:lang w:eastAsia="en-AU"/>
              </w:rPr>
              <w:t>Capital Group New Perspective (AU)</w:t>
            </w:r>
          </w:p>
        </w:tc>
        <w:tc>
          <w:tcPr>
            <w:tcW w:w="2185" w:type="dxa"/>
            <w:tcBorders>
              <w:top w:val="nil"/>
              <w:left w:val="nil"/>
              <w:bottom w:val="single" w:sz="8" w:space="0" w:color="auto"/>
              <w:right w:val="nil"/>
            </w:tcBorders>
            <w:shd w:val="clear" w:color="auto" w:fill="auto"/>
            <w:vAlign w:val="center"/>
            <w:hideMark/>
          </w:tcPr>
          <w:p w14:paraId="08BD4FF4" w14:textId="04C85203" w:rsidR="005042C4" w:rsidRPr="00AE19BD" w:rsidRDefault="00F8547A">
            <w:pPr>
              <w:jc w:val="center"/>
              <w:rPr>
                <w:rFonts w:ascii="Morningstar 1" w:eastAsia="Times New Roman" w:hAnsi="Morningstar 1" w:cs="Calibri"/>
                <w:b/>
                <w:bCs/>
                <w:color w:val="FF0000"/>
                <w:sz w:val="22"/>
                <w:szCs w:val="22"/>
                <w:lang w:eastAsia="en-AU"/>
              </w:rPr>
            </w:pPr>
            <w:r w:rsidRPr="00AE19BD">
              <w:rPr>
                <w:rFonts w:ascii="Morningstar 1" w:eastAsia="Times New Roman" w:hAnsi="Morningstar 1" w:cs="Calibri"/>
                <w:b/>
                <w:bCs/>
                <w:color w:val="FF0000"/>
                <w:sz w:val="22"/>
                <w:szCs w:val="22"/>
                <w:lang w:eastAsia="en-AU"/>
              </w:rPr>
              <w:t>Decrease</w:t>
            </w:r>
          </w:p>
        </w:tc>
        <w:tc>
          <w:tcPr>
            <w:tcW w:w="317" w:type="dxa"/>
            <w:vAlign w:val="center"/>
            <w:hideMark/>
          </w:tcPr>
          <w:p w14:paraId="61B0FF0F" w14:textId="77777777" w:rsidR="005042C4" w:rsidRPr="00AE19BD" w:rsidRDefault="005042C4">
            <w:pPr>
              <w:rPr>
                <w:rFonts w:ascii="Morningstar 1" w:eastAsia="Times New Roman" w:hAnsi="Morningstar 1"/>
                <w:sz w:val="22"/>
                <w:szCs w:val="22"/>
                <w:lang w:eastAsia="en-AU"/>
              </w:rPr>
            </w:pPr>
          </w:p>
        </w:tc>
      </w:tr>
      <w:tr w:rsidR="005042C4" w:rsidRPr="00AE19BD" w14:paraId="597AB89B" w14:textId="77777777" w:rsidTr="00DE40AF">
        <w:trPr>
          <w:trHeight w:val="305"/>
          <w:jc w:val="center"/>
        </w:trPr>
        <w:tc>
          <w:tcPr>
            <w:tcW w:w="4672" w:type="dxa"/>
            <w:tcBorders>
              <w:top w:val="nil"/>
              <w:left w:val="nil"/>
              <w:bottom w:val="single" w:sz="8" w:space="0" w:color="auto"/>
              <w:right w:val="nil"/>
            </w:tcBorders>
            <w:shd w:val="clear" w:color="auto" w:fill="auto"/>
            <w:noWrap/>
            <w:vAlign w:val="center"/>
            <w:hideMark/>
          </w:tcPr>
          <w:p w14:paraId="4EC191D7" w14:textId="77777777" w:rsidR="005042C4" w:rsidRPr="00AE19BD" w:rsidRDefault="005042C4">
            <w:pPr>
              <w:rPr>
                <w:rFonts w:ascii="Morningstar 1" w:eastAsia="Times New Roman" w:hAnsi="Morningstar 1" w:cs="Calibri"/>
                <w:color w:val="000000"/>
                <w:sz w:val="22"/>
                <w:szCs w:val="22"/>
                <w:lang w:eastAsia="en-AU"/>
              </w:rPr>
            </w:pPr>
            <w:r w:rsidRPr="00AE19BD">
              <w:rPr>
                <w:rFonts w:ascii="Morningstar 1" w:eastAsia="Times New Roman" w:hAnsi="Morningstar 1" w:cs="Calibri"/>
                <w:color w:val="000000"/>
                <w:sz w:val="22"/>
                <w:szCs w:val="22"/>
                <w:lang w:eastAsia="en-AU"/>
              </w:rPr>
              <w:t>Barrow Hanley Global Share S</w:t>
            </w:r>
          </w:p>
        </w:tc>
        <w:tc>
          <w:tcPr>
            <w:tcW w:w="2185" w:type="dxa"/>
            <w:tcBorders>
              <w:top w:val="nil"/>
              <w:left w:val="nil"/>
              <w:bottom w:val="single" w:sz="8" w:space="0" w:color="auto"/>
              <w:right w:val="nil"/>
            </w:tcBorders>
            <w:shd w:val="clear" w:color="auto" w:fill="auto"/>
            <w:vAlign w:val="center"/>
            <w:hideMark/>
          </w:tcPr>
          <w:p w14:paraId="526677EF" w14:textId="13FEFCDB" w:rsidR="005042C4" w:rsidRPr="00AE19BD" w:rsidRDefault="00F8547A">
            <w:pPr>
              <w:jc w:val="center"/>
              <w:rPr>
                <w:rFonts w:ascii="Morningstar 1" w:eastAsia="Times New Roman" w:hAnsi="Morningstar 1" w:cs="Calibri"/>
                <w:b/>
                <w:bCs/>
                <w:color w:val="00B050"/>
                <w:sz w:val="22"/>
                <w:szCs w:val="22"/>
                <w:lang w:eastAsia="en-AU"/>
              </w:rPr>
            </w:pPr>
            <w:r w:rsidRPr="00AE19BD">
              <w:rPr>
                <w:rFonts w:ascii="Morningstar 1" w:eastAsia="Times New Roman" w:hAnsi="Morningstar 1" w:cs="Calibri"/>
                <w:b/>
                <w:bCs/>
                <w:color w:val="00B050"/>
                <w:sz w:val="22"/>
                <w:szCs w:val="22"/>
                <w:lang w:eastAsia="en-AU"/>
              </w:rPr>
              <w:t>Increase</w:t>
            </w:r>
          </w:p>
        </w:tc>
        <w:tc>
          <w:tcPr>
            <w:tcW w:w="317" w:type="dxa"/>
            <w:vAlign w:val="center"/>
            <w:hideMark/>
          </w:tcPr>
          <w:p w14:paraId="4013FA6B" w14:textId="77777777" w:rsidR="005042C4" w:rsidRPr="00AE19BD" w:rsidRDefault="005042C4">
            <w:pPr>
              <w:rPr>
                <w:rFonts w:ascii="Morningstar 1" w:eastAsia="Times New Roman" w:hAnsi="Morningstar 1"/>
                <w:sz w:val="22"/>
                <w:szCs w:val="22"/>
                <w:lang w:eastAsia="en-AU"/>
              </w:rPr>
            </w:pPr>
          </w:p>
        </w:tc>
      </w:tr>
      <w:tr w:rsidR="005042C4" w:rsidRPr="00AE19BD" w14:paraId="0667960E" w14:textId="77777777" w:rsidTr="00DE40AF">
        <w:trPr>
          <w:trHeight w:val="305"/>
          <w:jc w:val="center"/>
        </w:trPr>
        <w:tc>
          <w:tcPr>
            <w:tcW w:w="4672" w:type="dxa"/>
            <w:tcBorders>
              <w:top w:val="nil"/>
              <w:left w:val="nil"/>
              <w:bottom w:val="single" w:sz="8" w:space="0" w:color="auto"/>
              <w:right w:val="nil"/>
            </w:tcBorders>
            <w:shd w:val="clear" w:color="auto" w:fill="auto"/>
            <w:noWrap/>
            <w:vAlign w:val="center"/>
            <w:hideMark/>
          </w:tcPr>
          <w:p w14:paraId="5408F510" w14:textId="77777777" w:rsidR="005042C4" w:rsidRPr="00AE19BD" w:rsidRDefault="005042C4">
            <w:pPr>
              <w:rPr>
                <w:rFonts w:ascii="Morningstar 1" w:eastAsia="Times New Roman" w:hAnsi="Morningstar 1" w:cs="Calibri"/>
                <w:color w:val="000000"/>
                <w:sz w:val="22"/>
                <w:szCs w:val="22"/>
                <w:lang w:eastAsia="en-AU"/>
              </w:rPr>
            </w:pPr>
            <w:r w:rsidRPr="00AE19BD">
              <w:rPr>
                <w:rFonts w:ascii="Morningstar 1" w:eastAsia="Times New Roman" w:hAnsi="Morningstar 1" w:cs="Calibri"/>
                <w:color w:val="000000"/>
                <w:sz w:val="22"/>
                <w:szCs w:val="22"/>
                <w:lang w:eastAsia="en-AU"/>
              </w:rPr>
              <w:t>MFS Global Equity Trust II - I Hedged</w:t>
            </w:r>
          </w:p>
        </w:tc>
        <w:tc>
          <w:tcPr>
            <w:tcW w:w="2185" w:type="dxa"/>
            <w:tcBorders>
              <w:top w:val="nil"/>
              <w:left w:val="nil"/>
              <w:bottom w:val="single" w:sz="8" w:space="0" w:color="auto"/>
              <w:right w:val="nil"/>
            </w:tcBorders>
            <w:shd w:val="clear" w:color="auto" w:fill="auto"/>
            <w:vAlign w:val="center"/>
            <w:hideMark/>
          </w:tcPr>
          <w:p w14:paraId="66A2D078" w14:textId="38372724" w:rsidR="005042C4" w:rsidRPr="00AE19BD" w:rsidRDefault="00F8547A">
            <w:pPr>
              <w:jc w:val="center"/>
              <w:rPr>
                <w:rFonts w:ascii="Morningstar 1" w:eastAsia="Times New Roman" w:hAnsi="Morningstar 1" w:cs="Calibri"/>
                <w:b/>
                <w:bCs/>
                <w:color w:val="00B050"/>
                <w:sz w:val="22"/>
                <w:szCs w:val="22"/>
                <w:lang w:eastAsia="en-AU"/>
              </w:rPr>
            </w:pPr>
            <w:r w:rsidRPr="00AE19BD">
              <w:rPr>
                <w:rFonts w:ascii="Morningstar 1" w:eastAsia="Times New Roman" w:hAnsi="Morningstar 1" w:cs="Calibri"/>
                <w:b/>
                <w:bCs/>
                <w:color w:val="00B050"/>
                <w:sz w:val="22"/>
                <w:szCs w:val="22"/>
                <w:lang w:eastAsia="en-AU"/>
              </w:rPr>
              <w:t>Increase</w:t>
            </w:r>
          </w:p>
        </w:tc>
        <w:tc>
          <w:tcPr>
            <w:tcW w:w="317" w:type="dxa"/>
            <w:vAlign w:val="center"/>
            <w:hideMark/>
          </w:tcPr>
          <w:p w14:paraId="0F2480A3" w14:textId="77777777" w:rsidR="005042C4" w:rsidRPr="00AE19BD" w:rsidRDefault="005042C4">
            <w:pPr>
              <w:rPr>
                <w:rFonts w:ascii="Morningstar 1" w:eastAsia="Times New Roman" w:hAnsi="Morningstar 1"/>
                <w:sz w:val="22"/>
                <w:szCs w:val="22"/>
                <w:lang w:eastAsia="en-AU"/>
              </w:rPr>
            </w:pPr>
          </w:p>
        </w:tc>
      </w:tr>
      <w:tr w:rsidR="005042C4" w:rsidRPr="00AE19BD" w14:paraId="40F3F399" w14:textId="77777777" w:rsidTr="00DE40AF">
        <w:trPr>
          <w:trHeight w:val="305"/>
          <w:jc w:val="center"/>
        </w:trPr>
        <w:tc>
          <w:tcPr>
            <w:tcW w:w="4672" w:type="dxa"/>
            <w:tcBorders>
              <w:top w:val="nil"/>
              <w:left w:val="nil"/>
              <w:bottom w:val="single" w:sz="8" w:space="0" w:color="auto"/>
              <w:right w:val="nil"/>
            </w:tcBorders>
            <w:shd w:val="clear" w:color="000000" w:fill="F2F2F2"/>
            <w:vAlign w:val="center"/>
            <w:hideMark/>
          </w:tcPr>
          <w:p w14:paraId="4EF44A56" w14:textId="77777777" w:rsidR="005042C4" w:rsidRPr="00AE19BD" w:rsidRDefault="005042C4">
            <w:pPr>
              <w:rPr>
                <w:rFonts w:ascii="Morningstar 1" w:eastAsia="Times New Roman" w:hAnsi="Morningstar 1" w:cs="Calibri"/>
                <w:b/>
                <w:bCs/>
                <w:color w:val="000000"/>
                <w:sz w:val="22"/>
                <w:szCs w:val="22"/>
                <w:lang w:eastAsia="en-AU"/>
              </w:rPr>
            </w:pPr>
            <w:r w:rsidRPr="00AE19BD">
              <w:rPr>
                <w:rFonts w:ascii="Morningstar 1" w:eastAsia="Times New Roman" w:hAnsi="Morningstar 1" w:cs="Calibri"/>
                <w:b/>
                <w:bCs/>
                <w:color w:val="000000"/>
                <w:sz w:val="22"/>
                <w:szCs w:val="22"/>
                <w:lang w:eastAsia="en-AU"/>
              </w:rPr>
              <w:t>Property and Infrastructure</w:t>
            </w:r>
          </w:p>
        </w:tc>
        <w:tc>
          <w:tcPr>
            <w:tcW w:w="2185" w:type="dxa"/>
            <w:tcBorders>
              <w:top w:val="nil"/>
              <w:left w:val="nil"/>
              <w:bottom w:val="single" w:sz="8" w:space="0" w:color="auto"/>
              <w:right w:val="nil"/>
            </w:tcBorders>
            <w:shd w:val="clear" w:color="000000" w:fill="F2F2F2"/>
            <w:vAlign w:val="center"/>
            <w:hideMark/>
          </w:tcPr>
          <w:p w14:paraId="65FE3FCD" w14:textId="77777777" w:rsidR="005042C4" w:rsidRPr="00AE19BD" w:rsidRDefault="005042C4">
            <w:pPr>
              <w:jc w:val="center"/>
              <w:rPr>
                <w:rFonts w:ascii="Morningstar 1" w:eastAsia="Times New Roman" w:hAnsi="Morningstar 1" w:cs="Calibri"/>
                <w:b/>
                <w:bCs/>
                <w:color w:val="00B050"/>
                <w:sz w:val="22"/>
                <w:szCs w:val="22"/>
                <w:lang w:eastAsia="en-AU"/>
              </w:rPr>
            </w:pPr>
            <w:r w:rsidRPr="00AE19BD">
              <w:rPr>
                <w:rFonts w:ascii="Morningstar 1" w:eastAsia="Times New Roman" w:hAnsi="Morningstar 1" w:cs="Calibri"/>
                <w:b/>
                <w:bCs/>
                <w:color w:val="00B050"/>
                <w:sz w:val="22"/>
                <w:szCs w:val="22"/>
                <w:lang w:eastAsia="en-AU"/>
              </w:rPr>
              <w:t> </w:t>
            </w:r>
          </w:p>
        </w:tc>
        <w:tc>
          <w:tcPr>
            <w:tcW w:w="317" w:type="dxa"/>
            <w:vAlign w:val="center"/>
            <w:hideMark/>
          </w:tcPr>
          <w:p w14:paraId="65E29827" w14:textId="77777777" w:rsidR="005042C4" w:rsidRPr="00AE19BD" w:rsidRDefault="005042C4">
            <w:pPr>
              <w:rPr>
                <w:rFonts w:ascii="Morningstar 1" w:eastAsia="Times New Roman" w:hAnsi="Morningstar 1"/>
                <w:sz w:val="22"/>
                <w:szCs w:val="22"/>
                <w:lang w:eastAsia="en-AU"/>
              </w:rPr>
            </w:pPr>
          </w:p>
        </w:tc>
      </w:tr>
      <w:tr w:rsidR="005042C4" w:rsidRPr="00AE19BD" w14:paraId="67309636" w14:textId="77777777" w:rsidTr="00DE40AF">
        <w:trPr>
          <w:trHeight w:val="305"/>
          <w:jc w:val="center"/>
        </w:trPr>
        <w:tc>
          <w:tcPr>
            <w:tcW w:w="4672" w:type="dxa"/>
            <w:tcBorders>
              <w:top w:val="nil"/>
              <w:left w:val="nil"/>
              <w:bottom w:val="single" w:sz="8" w:space="0" w:color="auto"/>
              <w:right w:val="nil"/>
            </w:tcBorders>
            <w:shd w:val="clear" w:color="auto" w:fill="auto"/>
            <w:noWrap/>
            <w:vAlign w:val="center"/>
            <w:hideMark/>
          </w:tcPr>
          <w:p w14:paraId="69D50FD8" w14:textId="77777777" w:rsidR="005042C4" w:rsidRPr="00AE19BD" w:rsidRDefault="005042C4">
            <w:pPr>
              <w:rPr>
                <w:rFonts w:ascii="Morningstar 1" w:eastAsia="Times New Roman" w:hAnsi="Morningstar 1" w:cs="Calibri"/>
                <w:color w:val="000000"/>
                <w:sz w:val="22"/>
                <w:szCs w:val="22"/>
                <w:lang w:eastAsia="en-AU"/>
              </w:rPr>
            </w:pPr>
            <w:r w:rsidRPr="00AE19BD">
              <w:rPr>
                <w:rFonts w:ascii="Morningstar 1" w:eastAsia="Times New Roman" w:hAnsi="Morningstar 1" w:cs="Calibri"/>
                <w:color w:val="000000"/>
                <w:sz w:val="22"/>
                <w:szCs w:val="22"/>
                <w:lang w:eastAsia="en-AU"/>
              </w:rPr>
              <w:t>MFG Core Infrastructure</w:t>
            </w:r>
          </w:p>
        </w:tc>
        <w:tc>
          <w:tcPr>
            <w:tcW w:w="2185" w:type="dxa"/>
            <w:tcBorders>
              <w:top w:val="nil"/>
              <w:left w:val="nil"/>
              <w:bottom w:val="single" w:sz="8" w:space="0" w:color="auto"/>
              <w:right w:val="nil"/>
            </w:tcBorders>
            <w:shd w:val="clear" w:color="auto" w:fill="auto"/>
            <w:vAlign w:val="center"/>
            <w:hideMark/>
          </w:tcPr>
          <w:p w14:paraId="0C48D791" w14:textId="36E551CB" w:rsidR="005042C4" w:rsidRPr="00AE19BD" w:rsidRDefault="00F8547A">
            <w:pPr>
              <w:jc w:val="center"/>
              <w:rPr>
                <w:rFonts w:ascii="Morningstar 1" w:eastAsia="Times New Roman" w:hAnsi="Morningstar 1" w:cs="Calibri"/>
                <w:b/>
                <w:bCs/>
                <w:color w:val="FF0000"/>
                <w:sz w:val="22"/>
                <w:szCs w:val="22"/>
                <w:lang w:eastAsia="en-AU"/>
              </w:rPr>
            </w:pPr>
            <w:r w:rsidRPr="00AE19BD">
              <w:rPr>
                <w:rFonts w:ascii="Morningstar 1" w:eastAsia="Times New Roman" w:hAnsi="Morningstar 1" w:cs="Calibri"/>
                <w:b/>
                <w:bCs/>
                <w:color w:val="FF0000"/>
                <w:sz w:val="22"/>
                <w:szCs w:val="22"/>
                <w:lang w:eastAsia="en-AU"/>
              </w:rPr>
              <w:t>Decrease</w:t>
            </w:r>
          </w:p>
        </w:tc>
        <w:tc>
          <w:tcPr>
            <w:tcW w:w="317" w:type="dxa"/>
            <w:vAlign w:val="center"/>
            <w:hideMark/>
          </w:tcPr>
          <w:p w14:paraId="618284E1" w14:textId="77777777" w:rsidR="005042C4" w:rsidRPr="00AE19BD" w:rsidRDefault="005042C4">
            <w:pPr>
              <w:rPr>
                <w:rFonts w:ascii="Morningstar 1" w:eastAsia="Times New Roman" w:hAnsi="Morningstar 1"/>
                <w:sz w:val="22"/>
                <w:szCs w:val="22"/>
                <w:lang w:eastAsia="en-AU"/>
              </w:rPr>
            </w:pPr>
          </w:p>
        </w:tc>
      </w:tr>
      <w:tr w:rsidR="005042C4" w:rsidRPr="00AE19BD" w14:paraId="3DFAF5FD" w14:textId="77777777" w:rsidTr="00DE40AF">
        <w:trPr>
          <w:trHeight w:val="305"/>
          <w:jc w:val="center"/>
        </w:trPr>
        <w:tc>
          <w:tcPr>
            <w:tcW w:w="4672" w:type="dxa"/>
            <w:tcBorders>
              <w:top w:val="nil"/>
              <w:left w:val="nil"/>
              <w:bottom w:val="single" w:sz="8" w:space="0" w:color="auto"/>
              <w:right w:val="nil"/>
            </w:tcBorders>
            <w:shd w:val="clear" w:color="auto" w:fill="auto"/>
            <w:noWrap/>
            <w:vAlign w:val="center"/>
            <w:hideMark/>
          </w:tcPr>
          <w:p w14:paraId="4DFF73BA" w14:textId="77777777" w:rsidR="005042C4" w:rsidRPr="00AE19BD" w:rsidRDefault="005042C4">
            <w:pPr>
              <w:rPr>
                <w:rFonts w:ascii="Morningstar 1" w:eastAsia="Times New Roman" w:hAnsi="Morningstar 1" w:cs="Calibri"/>
                <w:color w:val="000000"/>
                <w:sz w:val="22"/>
                <w:szCs w:val="22"/>
                <w:lang w:eastAsia="en-AU"/>
              </w:rPr>
            </w:pPr>
            <w:r w:rsidRPr="00AE19BD">
              <w:rPr>
                <w:rFonts w:ascii="Morningstar 1" w:eastAsia="Times New Roman" w:hAnsi="Morningstar 1" w:cs="Calibri"/>
                <w:color w:val="000000"/>
                <w:sz w:val="22"/>
                <w:szCs w:val="22"/>
                <w:lang w:eastAsia="en-AU"/>
              </w:rPr>
              <w:t>iShares Global Listed Property Idx Hdg S</w:t>
            </w:r>
          </w:p>
        </w:tc>
        <w:tc>
          <w:tcPr>
            <w:tcW w:w="2185" w:type="dxa"/>
            <w:tcBorders>
              <w:top w:val="nil"/>
              <w:left w:val="nil"/>
              <w:bottom w:val="single" w:sz="8" w:space="0" w:color="auto"/>
              <w:right w:val="nil"/>
            </w:tcBorders>
            <w:shd w:val="clear" w:color="auto" w:fill="auto"/>
            <w:vAlign w:val="center"/>
            <w:hideMark/>
          </w:tcPr>
          <w:p w14:paraId="00AAAC72" w14:textId="167F97B0" w:rsidR="005042C4" w:rsidRPr="00AE19BD" w:rsidRDefault="00F8547A">
            <w:pPr>
              <w:jc w:val="center"/>
              <w:rPr>
                <w:rFonts w:ascii="Morningstar 1" w:eastAsia="Times New Roman" w:hAnsi="Morningstar 1" w:cs="Calibri"/>
                <w:b/>
                <w:bCs/>
                <w:color w:val="FF0000"/>
                <w:sz w:val="22"/>
                <w:szCs w:val="22"/>
                <w:lang w:eastAsia="en-AU"/>
              </w:rPr>
            </w:pPr>
            <w:r w:rsidRPr="00AE19BD">
              <w:rPr>
                <w:rFonts w:ascii="Morningstar 1" w:eastAsia="Times New Roman" w:hAnsi="Morningstar 1" w:cs="Calibri"/>
                <w:b/>
                <w:bCs/>
                <w:color w:val="FF0000"/>
                <w:sz w:val="22"/>
                <w:szCs w:val="22"/>
                <w:lang w:eastAsia="en-AU"/>
              </w:rPr>
              <w:t>Decrease</w:t>
            </w:r>
          </w:p>
        </w:tc>
        <w:tc>
          <w:tcPr>
            <w:tcW w:w="317" w:type="dxa"/>
            <w:vAlign w:val="center"/>
            <w:hideMark/>
          </w:tcPr>
          <w:p w14:paraId="2EA65440" w14:textId="77777777" w:rsidR="005042C4" w:rsidRPr="00AE19BD" w:rsidRDefault="005042C4">
            <w:pPr>
              <w:rPr>
                <w:rFonts w:ascii="Morningstar 1" w:eastAsia="Times New Roman" w:hAnsi="Morningstar 1"/>
                <w:sz w:val="22"/>
                <w:szCs w:val="22"/>
                <w:lang w:eastAsia="en-AU"/>
              </w:rPr>
            </w:pPr>
          </w:p>
        </w:tc>
      </w:tr>
      <w:tr w:rsidR="005042C4" w:rsidRPr="00AE19BD" w14:paraId="746A1B8A" w14:textId="77777777" w:rsidTr="00DE40AF">
        <w:trPr>
          <w:trHeight w:val="305"/>
          <w:jc w:val="center"/>
        </w:trPr>
        <w:tc>
          <w:tcPr>
            <w:tcW w:w="4672" w:type="dxa"/>
            <w:tcBorders>
              <w:top w:val="nil"/>
              <w:left w:val="nil"/>
              <w:bottom w:val="single" w:sz="8" w:space="0" w:color="auto"/>
              <w:right w:val="nil"/>
            </w:tcBorders>
            <w:shd w:val="clear" w:color="000000" w:fill="F2F2F2"/>
            <w:vAlign w:val="center"/>
            <w:hideMark/>
          </w:tcPr>
          <w:p w14:paraId="5FBBCEFA" w14:textId="77777777" w:rsidR="005042C4" w:rsidRPr="00AE19BD" w:rsidRDefault="005042C4">
            <w:pPr>
              <w:rPr>
                <w:rFonts w:ascii="Morningstar 1" w:eastAsia="Times New Roman" w:hAnsi="Morningstar 1" w:cs="Calibri"/>
                <w:b/>
                <w:bCs/>
                <w:color w:val="000000"/>
                <w:sz w:val="22"/>
                <w:szCs w:val="22"/>
                <w:lang w:eastAsia="en-AU"/>
              </w:rPr>
            </w:pPr>
            <w:r w:rsidRPr="00AE19BD">
              <w:rPr>
                <w:rFonts w:ascii="Morningstar 1" w:eastAsia="Times New Roman" w:hAnsi="Morningstar 1" w:cs="Calibri"/>
                <w:b/>
                <w:bCs/>
                <w:color w:val="000000"/>
                <w:sz w:val="22"/>
                <w:szCs w:val="22"/>
                <w:lang w:eastAsia="en-AU"/>
              </w:rPr>
              <w:t>Australian Fixed Interest</w:t>
            </w:r>
          </w:p>
        </w:tc>
        <w:tc>
          <w:tcPr>
            <w:tcW w:w="2185" w:type="dxa"/>
            <w:tcBorders>
              <w:top w:val="nil"/>
              <w:left w:val="nil"/>
              <w:bottom w:val="single" w:sz="8" w:space="0" w:color="auto"/>
              <w:right w:val="nil"/>
            </w:tcBorders>
            <w:shd w:val="clear" w:color="000000" w:fill="F2F2F2"/>
            <w:vAlign w:val="center"/>
            <w:hideMark/>
          </w:tcPr>
          <w:p w14:paraId="5BDBA215" w14:textId="77777777" w:rsidR="005042C4" w:rsidRPr="00AE19BD" w:rsidRDefault="005042C4">
            <w:pPr>
              <w:jc w:val="center"/>
              <w:rPr>
                <w:rFonts w:ascii="Morningstar 1" w:eastAsia="Times New Roman" w:hAnsi="Morningstar 1" w:cs="Calibri"/>
                <w:b/>
                <w:bCs/>
                <w:color w:val="00B050"/>
                <w:sz w:val="22"/>
                <w:szCs w:val="22"/>
                <w:lang w:eastAsia="en-AU"/>
              </w:rPr>
            </w:pPr>
            <w:r w:rsidRPr="00AE19BD">
              <w:rPr>
                <w:rFonts w:ascii="Morningstar 1" w:eastAsia="Times New Roman" w:hAnsi="Morningstar 1" w:cs="Calibri"/>
                <w:b/>
                <w:bCs/>
                <w:color w:val="00B050"/>
                <w:sz w:val="22"/>
                <w:szCs w:val="22"/>
                <w:lang w:eastAsia="en-AU"/>
              </w:rPr>
              <w:t> </w:t>
            </w:r>
          </w:p>
        </w:tc>
        <w:tc>
          <w:tcPr>
            <w:tcW w:w="317" w:type="dxa"/>
            <w:vAlign w:val="center"/>
            <w:hideMark/>
          </w:tcPr>
          <w:p w14:paraId="13E5DD5E" w14:textId="77777777" w:rsidR="005042C4" w:rsidRPr="00AE19BD" w:rsidRDefault="005042C4">
            <w:pPr>
              <w:rPr>
                <w:rFonts w:ascii="Morningstar 1" w:eastAsia="Times New Roman" w:hAnsi="Morningstar 1"/>
                <w:sz w:val="22"/>
                <w:szCs w:val="22"/>
                <w:lang w:eastAsia="en-AU"/>
              </w:rPr>
            </w:pPr>
          </w:p>
        </w:tc>
      </w:tr>
      <w:tr w:rsidR="005042C4" w:rsidRPr="00AE19BD" w14:paraId="23B703C6" w14:textId="77777777" w:rsidTr="00DE40AF">
        <w:trPr>
          <w:trHeight w:val="305"/>
          <w:jc w:val="center"/>
        </w:trPr>
        <w:tc>
          <w:tcPr>
            <w:tcW w:w="4672" w:type="dxa"/>
            <w:tcBorders>
              <w:top w:val="nil"/>
              <w:left w:val="nil"/>
              <w:bottom w:val="single" w:sz="8" w:space="0" w:color="auto"/>
              <w:right w:val="nil"/>
            </w:tcBorders>
            <w:shd w:val="clear" w:color="auto" w:fill="auto"/>
            <w:noWrap/>
            <w:vAlign w:val="center"/>
            <w:hideMark/>
          </w:tcPr>
          <w:p w14:paraId="25AF6669" w14:textId="77777777" w:rsidR="005042C4" w:rsidRPr="00AE19BD" w:rsidRDefault="005042C4">
            <w:pPr>
              <w:rPr>
                <w:rFonts w:ascii="Morningstar 1" w:eastAsia="Times New Roman" w:hAnsi="Morningstar 1" w:cs="Calibri"/>
                <w:color w:val="000000"/>
                <w:sz w:val="22"/>
                <w:szCs w:val="22"/>
                <w:lang w:eastAsia="en-AU"/>
              </w:rPr>
            </w:pPr>
            <w:r w:rsidRPr="00AE19BD">
              <w:rPr>
                <w:rFonts w:ascii="Morningstar 1" w:eastAsia="Times New Roman" w:hAnsi="Morningstar 1" w:cs="Calibri"/>
                <w:color w:val="000000"/>
                <w:sz w:val="22"/>
                <w:szCs w:val="22"/>
                <w:lang w:eastAsia="en-AU"/>
              </w:rPr>
              <w:t>Vanguard Australian Fixed Interest ETF</w:t>
            </w:r>
          </w:p>
        </w:tc>
        <w:tc>
          <w:tcPr>
            <w:tcW w:w="2185" w:type="dxa"/>
            <w:tcBorders>
              <w:top w:val="nil"/>
              <w:left w:val="nil"/>
              <w:bottom w:val="single" w:sz="8" w:space="0" w:color="auto"/>
              <w:right w:val="nil"/>
            </w:tcBorders>
            <w:shd w:val="clear" w:color="auto" w:fill="auto"/>
            <w:vAlign w:val="center"/>
            <w:hideMark/>
          </w:tcPr>
          <w:p w14:paraId="7F766A1F" w14:textId="41A16FB1" w:rsidR="005042C4" w:rsidRPr="00AE19BD" w:rsidRDefault="00F8547A">
            <w:pPr>
              <w:jc w:val="center"/>
              <w:rPr>
                <w:rFonts w:ascii="Morningstar 1" w:eastAsia="Times New Roman" w:hAnsi="Morningstar 1" w:cs="Calibri"/>
                <w:b/>
                <w:bCs/>
                <w:color w:val="00B050"/>
                <w:sz w:val="22"/>
                <w:szCs w:val="22"/>
                <w:lang w:eastAsia="en-AU"/>
              </w:rPr>
            </w:pPr>
            <w:r w:rsidRPr="00AE19BD">
              <w:rPr>
                <w:rFonts w:ascii="Morningstar 1" w:eastAsia="Times New Roman" w:hAnsi="Morningstar 1" w:cs="Calibri"/>
                <w:b/>
                <w:bCs/>
                <w:color w:val="00B050"/>
                <w:sz w:val="22"/>
                <w:szCs w:val="22"/>
                <w:lang w:eastAsia="en-AU"/>
              </w:rPr>
              <w:t>Increase</w:t>
            </w:r>
          </w:p>
        </w:tc>
        <w:tc>
          <w:tcPr>
            <w:tcW w:w="317" w:type="dxa"/>
            <w:vAlign w:val="center"/>
            <w:hideMark/>
          </w:tcPr>
          <w:p w14:paraId="7CD21D32" w14:textId="77777777" w:rsidR="005042C4" w:rsidRPr="00AE19BD" w:rsidRDefault="005042C4">
            <w:pPr>
              <w:rPr>
                <w:rFonts w:ascii="Morningstar 1" w:eastAsia="Times New Roman" w:hAnsi="Morningstar 1"/>
                <w:sz w:val="22"/>
                <w:szCs w:val="22"/>
                <w:lang w:eastAsia="en-AU"/>
              </w:rPr>
            </w:pPr>
          </w:p>
        </w:tc>
      </w:tr>
      <w:tr w:rsidR="005042C4" w:rsidRPr="00AE19BD" w14:paraId="4F075BEB" w14:textId="77777777" w:rsidTr="00DE40AF">
        <w:trPr>
          <w:trHeight w:val="305"/>
          <w:jc w:val="center"/>
        </w:trPr>
        <w:tc>
          <w:tcPr>
            <w:tcW w:w="4672" w:type="dxa"/>
            <w:tcBorders>
              <w:top w:val="nil"/>
              <w:left w:val="nil"/>
              <w:bottom w:val="single" w:sz="8" w:space="0" w:color="auto"/>
              <w:right w:val="nil"/>
            </w:tcBorders>
            <w:shd w:val="clear" w:color="000000" w:fill="F2F2F2"/>
            <w:vAlign w:val="center"/>
            <w:hideMark/>
          </w:tcPr>
          <w:p w14:paraId="3F18791A" w14:textId="77777777" w:rsidR="005042C4" w:rsidRPr="00AE19BD" w:rsidRDefault="005042C4">
            <w:pPr>
              <w:rPr>
                <w:rFonts w:ascii="Morningstar 1" w:eastAsia="Times New Roman" w:hAnsi="Morningstar 1" w:cs="Calibri"/>
                <w:b/>
                <w:bCs/>
                <w:color w:val="000000"/>
                <w:sz w:val="22"/>
                <w:szCs w:val="22"/>
                <w:lang w:eastAsia="en-AU"/>
              </w:rPr>
            </w:pPr>
            <w:r w:rsidRPr="00AE19BD">
              <w:rPr>
                <w:rFonts w:ascii="Morningstar 1" w:eastAsia="Times New Roman" w:hAnsi="Morningstar 1" w:cs="Calibri"/>
                <w:b/>
                <w:bCs/>
                <w:color w:val="000000"/>
                <w:sz w:val="22"/>
                <w:szCs w:val="22"/>
                <w:lang w:eastAsia="en-AU"/>
              </w:rPr>
              <w:t>International Fixed Interest</w:t>
            </w:r>
          </w:p>
        </w:tc>
        <w:tc>
          <w:tcPr>
            <w:tcW w:w="2185" w:type="dxa"/>
            <w:tcBorders>
              <w:top w:val="nil"/>
              <w:left w:val="nil"/>
              <w:bottom w:val="single" w:sz="8" w:space="0" w:color="auto"/>
              <w:right w:val="nil"/>
            </w:tcBorders>
            <w:shd w:val="clear" w:color="000000" w:fill="F2F2F2"/>
            <w:vAlign w:val="center"/>
            <w:hideMark/>
          </w:tcPr>
          <w:p w14:paraId="1C9C12EF" w14:textId="77777777" w:rsidR="005042C4" w:rsidRPr="00AE19BD" w:rsidRDefault="005042C4">
            <w:pPr>
              <w:jc w:val="center"/>
              <w:rPr>
                <w:rFonts w:ascii="Morningstar 1" w:eastAsia="Times New Roman" w:hAnsi="Morningstar 1" w:cs="Calibri"/>
                <w:b/>
                <w:bCs/>
                <w:color w:val="00B050"/>
                <w:sz w:val="22"/>
                <w:szCs w:val="22"/>
                <w:lang w:eastAsia="en-AU"/>
              </w:rPr>
            </w:pPr>
            <w:r w:rsidRPr="00AE19BD">
              <w:rPr>
                <w:rFonts w:ascii="Morningstar 1" w:eastAsia="Times New Roman" w:hAnsi="Morningstar 1" w:cs="Calibri"/>
                <w:b/>
                <w:bCs/>
                <w:color w:val="00B050"/>
                <w:sz w:val="22"/>
                <w:szCs w:val="22"/>
                <w:lang w:eastAsia="en-AU"/>
              </w:rPr>
              <w:t> </w:t>
            </w:r>
          </w:p>
        </w:tc>
        <w:tc>
          <w:tcPr>
            <w:tcW w:w="317" w:type="dxa"/>
            <w:vAlign w:val="center"/>
            <w:hideMark/>
          </w:tcPr>
          <w:p w14:paraId="2A8F1AE4" w14:textId="77777777" w:rsidR="005042C4" w:rsidRPr="00AE19BD" w:rsidRDefault="005042C4">
            <w:pPr>
              <w:rPr>
                <w:rFonts w:ascii="Morningstar 1" w:eastAsia="Times New Roman" w:hAnsi="Morningstar 1"/>
                <w:sz w:val="22"/>
                <w:szCs w:val="22"/>
                <w:lang w:eastAsia="en-AU"/>
              </w:rPr>
            </w:pPr>
          </w:p>
        </w:tc>
      </w:tr>
      <w:tr w:rsidR="005042C4" w:rsidRPr="00AE19BD" w14:paraId="2928E191" w14:textId="77777777" w:rsidTr="00DE40AF">
        <w:trPr>
          <w:trHeight w:val="305"/>
          <w:jc w:val="center"/>
        </w:trPr>
        <w:tc>
          <w:tcPr>
            <w:tcW w:w="4672" w:type="dxa"/>
            <w:tcBorders>
              <w:top w:val="nil"/>
              <w:left w:val="nil"/>
              <w:bottom w:val="single" w:sz="8" w:space="0" w:color="auto"/>
              <w:right w:val="nil"/>
            </w:tcBorders>
            <w:shd w:val="clear" w:color="auto" w:fill="auto"/>
            <w:noWrap/>
            <w:vAlign w:val="center"/>
            <w:hideMark/>
          </w:tcPr>
          <w:p w14:paraId="685E1DF6" w14:textId="77777777" w:rsidR="005042C4" w:rsidRPr="00AE19BD" w:rsidRDefault="005042C4">
            <w:pPr>
              <w:rPr>
                <w:rFonts w:ascii="Morningstar 1" w:eastAsia="Times New Roman" w:hAnsi="Morningstar 1" w:cs="Calibri"/>
                <w:color w:val="000000"/>
                <w:sz w:val="22"/>
                <w:szCs w:val="22"/>
                <w:lang w:eastAsia="en-AU"/>
              </w:rPr>
            </w:pPr>
            <w:r w:rsidRPr="00AE19BD">
              <w:rPr>
                <w:rFonts w:ascii="Morningstar 1" w:eastAsia="Times New Roman" w:hAnsi="Morningstar 1" w:cs="Calibri"/>
                <w:color w:val="000000"/>
                <w:sz w:val="22"/>
                <w:szCs w:val="22"/>
                <w:lang w:eastAsia="en-AU"/>
              </w:rPr>
              <w:t>iShares Global Bond Index</w:t>
            </w:r>
          </w:p>
        </w:tc>
        <w:tc>
          <w:tcPr>
            <w:tcW w:w="2185" w:type="dxa"/>
            <w:tcBorders>
              <w:top w:val="nil"/>
              <w:left w:val="nil"/>
              <w:bottom w:val="single" w:sz="8" w:space="0" w:color="auto"/>
              <w:right w:val="nil"/>
            </w:tcBorders>
            <w:shd w:val="clear" w:color="auto" w:fill="auto"/>
            <w:vAlign w:val="center"/>
            <w:hideMark/>
          </w:tcPr>
          <w:p w14:paraId="1ABEA6A6" w14:textId="69469E75" w:rsidR="005042C4" w:rsidRPr="00AE19BD" w:rsidRDefault="00F8547A">
            <w:pPr>
              <w:jc w:val="center"/>
              <w:rPr>
                <w:rFonts w:ascii="Morningstar 1" w:eastAsia="Times New Roman" w:hAnsi="Morningstar 1" w:cs="Calibri"/>
                <w:b/>
                <w:bCs/>
                <w:color w:val="00B050"/>
                <w:sz w:val="22"/>
                <w:szCs w:val="22"/>
                <w:lang w:eastAsia="en-AU"/>
              </w:rPr>
            </w:pPr>
            <w:r w:rsidRPr="00AE19BD">
              <w:rPr>
                <w:rFonts w:ascii="Morningstar 1" w:eastAsia="Times New Roman" w:hAnsi="Morningstar 1" w:cs="Calibri"/>
                <w:b/>
                <w:bCs/>
                <w:color w:val="00B050"/>
                <w:sz w:val="22"/>
                <w:szCs w:val="22"/>
                <w:lang w:eastAsia="en-AU"/>
              </w:rPr>
              <w:t>Increase</w:t>
            </w:r>
          </w:p>
        </w:tc>
        <w:tc>
          <w:tcPr>
            <w:tcW w:w="317" w:type="dxa"/>
            <w:vAlign w:val="center"/>
            <w:hideMark/>
          </w:tcPr>
          <w:p w14:paraId="1F0BF7A9" w14:textId="77777777" w:rsidR="005042C4" w:rsidRPr="00AE19BD" w:rsidRDefault="005042C4">
            <w:pPr>
              <w:rPr>
                <w:rFonts w:ascii="Morningstar 1" w:eastAsia="Times New Roman" w:hAnsi="Morningstar 1"/>
                <w:sz w:val="22"/>
                <w:szCs w:val="22"/>
                <w:lang w:eastAsia="en-AU"/>
              </w:rPr>
            </w:pPr>
          </w:p>
        </w:tc>
      </w:tr>
    </w:tbl>
    <w:p w14:paraId="56586F8E" w14:textId="47CF27FC" w:rsidR="00F24AB9" w:rsidRPr="009C6816" w:rsidDel="00834411" w:rsidRDefault="00F24AB9" w:rsidP="00F75CC9">
      <w:pPr>
        <w:rPr>
          <w:rFonts w:ascii="Morningstar 1" w:hAnsi="Morningstar 1"/>
          <w:color w:val="000000" w:themeColor="text1"/>
          <w:sz w:val="22"/>
          <w:szCs w:val="22"/>
        </w:rPr>
      </w:pPr>
    </w:p>
    <w:p w14:paraId="53798F57" w14:textId="56DDAB6F" w:rsidR="00615A90" w:rsidRPr="00615A90" w:rsidRDefault="00615A90" w:rsidP="00615A90">
      <w:pPr>
        <w:spacing w:after="120"/>
        <w:rPr>
          <w:rFonts w:ascii="Morningstar 1" w:eastAsia="Calibri" w:hAnsi="Morningstar 1"/>
          <w:sz w:val="22"/>
          <w:szCs w:val="22"/>
        </w:rPr>
      </w:pPr>
      <w:r w:rsidRPr="00615A90">
        <w:rPr>
          <w:rFonts w:ascii="Morningstar 1" w:eastAsia="Calibri" w:hAnsi="Morningstar 1"/>
          <w:sz w:val="22"/>
          <w:szCs w:val="22"/>
        </w:rPr>
        <w:t xml:space="preserve">Currently, Morningstar maintains a bias towards </w:t>
      </w:r>
      <w:r w:rsidR="00985B11">
        <w:rPr>
          <w:rFonts w:ascii="Morningstar 1" w:eastAsia="Calibri" w:hAnsi="Morningstar 1"/>
          <w:sz w:val="22"/>
          <w:szCs w:val="22"/>
        </w:rPr>
        <w:t>defensive</w:t>
      </w:r>
      <w:r w:rsidR="00985B11" w:rsidRPr="00615A90">
        <w:rPr>
          <w:rFonts w:ascii="Morningstar 1" w:eastAsia="Calibri" w:hAnsi="Morningstar 1"/>
          <w:sz w:val="22"/>
          <w:szCs w:val="22"/>
        </w:rPr>
        <w:t xml:space="preserve"> </w:t>
      </w:r>
      <w:r w:rsidRPr="00615A90">
        <w:rPr>
          <w:rFonts w:ascii="Morningstar 1" w:eastAsia="Calibri" w:hAnsi="Morningstar 1"/>
          <w:sz w:val="22"/>
          <w:szCs w:val="22"/>
        </w:rPr>
        <w:t xml:space="preserve">investments relative to </w:t>
      </w:r>
      <w:r w:rsidR="003B3023">
        <w:rPr>
          <w:rFonts w:ascii="Morningstar 1" w:eastAsia="Calibri" w:hAnsi="Morningstar 1"/>
          <w:sz w:val="22"/>
          <w:szCs w:val="22"/>
        </w:rPr>
        <w:t>growth assets</w:t>
      </w:r>
      <w:r w:rsidRPr="00615A90">
        <w:rPr>
          <w:rFonts w:ascii="Morningstar 1" w:eastAsia="Calibri" w:hAnsi="Morningstar 1"/>
          <w:sz w:val="22"/>
          <w:szCs w:val="22"/>
        </w:rPr>
        <w:t>, a strategic approach influenced by ongoing market analysis.</w:t>
      </w:r>
      <w:r>
        <w:rPr>
          <w:rFonts w:ascii="Morningstar 1" w:eastAsia="Calibri" w:hAnsi="Morningstar 1"/>
          <w:sz w:val="22"/>
          <w:szCs w:val="22"/>
        </w:rPr>
        <w:t xml:space="preserve"> </w:t>
      </w:r>
      <w:r w:rsidRPr="00615A90">
        <w:rPr>
          <w:rFonts w:ascii="Morningstar 1" w:eastAsia="Calibri" w:hAnsi="Morningstar 1"/>
          <w:sz w:val="22"/>
          <w:szCs w:val="22"/>
        </w:rPr>
        <w:t>Recently, adjustments have been made by increasing allocations to Australian fixed interest and global fixed interest. This strategic move aims to capitali</w:t>
      </w:r>
      <w:r>
        <w:rPr>
          <w:rFonts w:ascii="Morningstar 1" w:eastAsia="Calibri" w:hAnsi="Morningstar 1"/>
          <w:sz w:val="22"/>
          <w:szCs w:val="22"/>
        </w:rPr>
        <w:t>s</w:t>
      </w:r>
      <w:r w:rsidRPr="00615A90">
        <w:rPr>
          <w:rFonts w:ascii="Morningstar 1" w:eastAsia="Calibri" w:hAnsi="Morningstar 1"/>
          <w:sz w:val="22"/>
          <w:szCs w:val="22"/>
        </w:rPr>
        <w:t>e on favorable opportunities while effectively diversifying risks.</w:t>
      </w:r>
    </w:p>
    <w:p w14:paraId="35814832" w14:textId="02230649" w:rsidR="00985B11" w:rsidRDefault="19A8714F" w:rsidP="00985B11">
      <w:pPr>
        <w:rPr>
          <w:rFonts w:ascii="Morningstar 1" w:hAnsi="Morningstar 1" w:cs="Morningstar1Light"/>
          <w:sz w:val="22"/>
          <w:szCs w:val="22"/>
        </w:rPr>
      </w:pPr>
      <w:r w:rsidRPr="648E39AF">
        <w:rPr>
          <w:rFonts w:ascii="Morningstar 1" w:hAnsi="Morningstar 1" w:cs="Morningstar1Light"/>
          <w:sz w:val="22"/>
          <w:szCs w:val="22"/>
        </w:rPr>
        <w:t xml:space="preserve">Morningstar's preference for global </w:t>
      </w:r>
      <w:r w:rsidR="2E537BE3" w:rsidRPr="648E39AF">
        <w:rPr>
          <w:rFonts w:ascii="Morningstar 1" w:hAnsi="Morningstar 1" w:cs="Morningstar1Light"/>
          <w:sz w:val="22"/>
          <w:szCs w:val="22"/>
        </w:rPr>
        <w:t>over domestic equities</w:t>
      </w:r>
      <w:r w:rsidRPr="648E39AF">
        <w:rPr>
          <w:rFonts w:ascii="Morningstar 1" w:hAnsi="Morningstar 1" w:cs="Morningstar1Light"/>
          <w:sz w:val="22"/>
          <w:szCs w:val="22"/>
        </w:rPr>
        <w:t xml:space="preserve"> persists, contributing to the </w:t>
      </w:r>
      <w:r w:rsidR="4173E38D" w:rsidRPr="648E39AF">
        <w:rPr>
          <w:rFonts w:ascii="Morningstar 1" w:hAnsi="Morningstar 1" w:cs="Morningstar1Light"/>
          <w:sz w:val="22"/>
          <w:szCs w:val="22"/>
        </w:rPr>
        <w:t xml:space="preserve">sector </w:t>
      </w:r>
      <w:r w:rsidRPr="648E39AF">
        <w:rPr>
          <w:rFonts w:ascii="Morningstar 1" w:hAnsi="Morningstar 1" w:cs="Morningstar1Light"/>
          <w:sz w:val="22"/>
          <w:szCs w:val="22"/>
        </w:rPr>
        <w:t>diversification of your portfolio. Although overall exposure to equities has been increased</w:t>
      </w:r>
      <w:r w:rsidR="34FD5BD3" w:rsidRPr="648E39AF">
        <w:rPr>
          <w:rFonts w:ascii="Morningstar 1" w:hAnsi="Morningstar 1" w:cs="Morningstar1Light"/>
          <w:sz w:val="22"/>
          <w:szCs w:val="22"/>
        </w:rPr>
        <w:t xml:space="preserve"> as part of the new SAA</w:t>
      </w:r>
      <w:r w:rsidRPr="648E39AF">
        <w:rPr>
          <w:rFonts w:ascii="Morningstar 1" w:hAnsi="Morningstar 1" w:cs="Morningstar1Light"/>
          <w:sz w:val="22"/>
          <w:szCs w:val="22"/>
        </w:rPr>
        <w:t xml:space="preserve">, </w:t>
      </w:r>
      <w:r w:rsidR="5C83C381" w:rsidRPr="648E39AF">
        <w:rPr>
          <w:rFonts w:ascii="Morningstar 1" w:hAnsi="Morningstar 1" w:cs="Morningstar1Light"/>
          <w:sz w:val="22"/>
          <w:szCs w:val="22"/>
        </w:rPr>
        <w:t xml:space="preserve">stock </w:t>
      </w:r>
      <w:r w:rsidRPr="648E39AF">
        <w:rPr>
          <w:rFonts w:ascii="Morningstar 1" w:hAnsi="Morningstar 1" w:cs="Morningstar1Light"/>
          <w:sz w:val="22"/>
          <w:szCs w:val="22"/>
        </w:rPr>
        <w:t xml:space="preserve">allocations are </w:t>
      </w:r>
      <w:r w:rsidR="00C73B9A">
        <w:rPr>
          <w:rFonts w:ascii="Morningstar 1" w:hAnsi="Morningstar 1" w:cs="Morningstar1Light"/>
          <w:sz w:val="22"/>
          <w:szCs w:val="22"/>
        </w:rPr>
        <w:t xml:space="preserve">more </w:t>
      </w:r>
      <w:r w:rsidR="00F35D3F">
        <w:rPr>
          <w:rFonts w:ascii="Morningstar 1" w:hAnsi="Morningstar 1" w:cs="Morningstar1Light"/>
          <w:sz w:val="22"/>
          <w:szCs w:val="22"/>
        </w:rPr>
        <w:t>diversified</w:t>
      </w:r>
      <w:r w:rsidRPr="648E39AF">
        <w:rPr>
          <w:rFonts w:ascii="Morningstar 1" w:hAnsi="Morningstar 1" w:cs="Morningstar1Light"/>
          <w:sz w:val="22"/>
          <w:szCs w:val="22"/>
        </w:rPr>
        <w:t xml:space="preserve"> due to prevailing high valuations</w:t>
      </w:r>
      <w:r w:rsidR="701452FA" w:rsidRPr="648E39AF">
        <w:rPr>
          <w:rFonts w:ascii="Morningstar 1" w:hAnsi="Morningstar 1" w:cs="Morningstar1Light"/>
          <w:sz w:val="22"/>
          <w:szCs w:val="22"/>
        </w:rPr>
        <w:t xml:space="preserve"> of the market</w:t>
      </w:r>
      <w:r w:rsidRPr="648E39AF">
        <w:rPr>
          <w:rFonts w:ascii="Morningstar 1" w:hAnsi="Morningstar 1" w:cs="Morningstar1Light"/>
          <w:sz w:val="22"/>
          <w:szCs w:val="22"/>
        </w:rPr>
        <w:t xml:space="preserve">. </w:t>
      </w:r>
    </w:p>
    <w:p w14:paraId="2224E3CE" w14:textId="77777777" w:rsidR="00985B11" w:rsidRDefault="00985B11" w:rsidP="00985B11">
      <w:pPr>
        <w:rPr>
          <w:rFonts w:ascii="Morningstar 1" w:hAnsi="Morningstar 1" w:cs="Morningstar1Light"/>
          <w:sz w:val="22"/>
          <w:szCs w:val="22"/>
        </w:rPr>
      </w:pPr>
    </w:p>
    <w:p w14:paraId="71D844AE" w14:textId="14B4D332" w:rsidR="00985B11" w:rsidRDefault="19A8714F" w:rsidP="00985B11">
      <w:pPr>
        <w:rPr>
          <w:rFonts w:ascii="Morningstar 1" w:hAnsi="Morningstar 1" w:cs="Morningstar1Light"/>
          <w:sz w:val="22"/>
          <w:szCs w:val="22"/>
        </w:rPr>
      </w:pPr>
      <w:r w:rsidRPr="648E39AF">
        <w:rPr>
          <w:rFonts w:ascii="Morningstar 1" w:hAnsi="Morningstar 1" w:cs="Morningstar1Light"/>
          <w:sz w:val="22"/>
          <w:szCs w:val="22"/>
        </w:rPr>
        <w:t xml:space="preserve">Your investments in property and infrastructure have been </w:t>
      </w:r>
      <w:r w:rsidR="00F35D3F">
        <w:rPr>
          <w:rFonts w:ascii="Morningstar 1" w:hAnsi="Morningstar 1" w:cs="Morningstar1Light"/>
          <w:sz w:val="22"/>
          <w:szCs w:val="22"/>
        </w:rPr>
        <w:t>adjusted</w:t>
      </w:r>
      <w:r w:rsidRPr="648E39AF">
        <w:rPr>
          <w:rFonts w:ascii="Morningstar 1" w:hAnsi="Morningstar 1" w:cs="Morningstar1Light"/>
          <w:sz w:val="22"/>
          <w:szCs w:val="22"/>
        </w:rPr>
        <w:t>, with some reductions made while maintaining a prudent level of exposure to capitalise on current opportunities.</w:t>
      </w:r>
      <w:r w:rsidR="0BEECDEB" w:rsidRPr="648E39AF">
        <w:rPr>
          <w:rFonts w:ascii="Morningstar 1" w:hAnsi="Morningstar 1" w:cs="Morningstar1Light"/>
          <w:sz w:val="22"/>
          <w:szCs w:val="22"/>
        </w:rPr>
        <w:t xml:space="preserve"> </w:t>
      </w:r>
    </w:p>
    <w:p w14:paraId="3C028204" w14:textId="77777777" w:rsidR="00615A90" w:rsidRPr="00615A90" w:rsidRDefault="00615A90" w:rsidP="00615A90">
      <w:pPr>
        <w:spacing w:after="120"/>
        <w:rPr>
          <w:rFonts w:ascii="Morningstar 1" w:eastAsia="Calibri" w:hAnsi="Morningstar 1"/>
          <w:sz w:val="22"/>
          <w:szCs w:val="22"/>
        </w:rPr>
      </w:pPr>
    </w:p>
    <w:p w14:paraId="3575EA2F" w14:textId="77777777" w:rsidR="00615A90" w:rsidRDefault="00615A90" w:rsidP="00615A90">
      <w:pPr>
        <w:spacing w:after="120"/>
        <w:rPr>
          <w:rFonts w:ascii="Morningstar 1" w:eastAsia="Calibri" w:hAnsi="Morningstar 1"/>
          <w:sz w:val="22"/>
          <w:szCs w:val="22"/>
        </w:rPr>
      </w:pPr>
      <w:r w:rsidRPr="00615A90">
        <w:rPr>
          <w:rFonts w:ascii="Morningstar 1" w:eastAsia="Calibri" w:hAnsi="Morningstar 1"/>
          <w:sz w:val="22"/>
          <w:szCs w:val="22"/>
        </w:rPr>
        <w:t xml:space="preserve">The overarching goal remains to ensure the resilience and growth potential of your investments. </w:t>
      </w:r>
    </w:p>
    <w:p w14:paraId="0D5B697A" w14:textId="0212CECC" w:rsidR="50E8D06D" w:rsidRDefault="6E8F9490" w:rsidP="5CF6815B">
      <w:pPr>
        <w:spacing w:after="120"/>
        <w:rPr>
          <w:rFonts w:ascii="Morningstar 1" w:eastAsia="Calibri" w:hAnsi="Morningstar 1"/>
          <w:sz w:val="22"/>
          <w:szCs w:val="22"/>
        </w:rPr>
      </w:pPr>
      <w:r w:rsidRPr="5CF6815B">
        <w:rPr>
          <w:rFonts w:ascii="Morningstar 1" w:eastAsia="Calibri" w:hAnsi="Morningstar 1"/>
          <w:sz w:val="22"/>
          <w:szCs w:val="22"/>
        </w:rPr>
        <w:t>As always, please let me know if you have any questions or if I can be of any assistance.</w:t>
      </w:r>
    </w:p>
    <w:p w14:paraId="16D05BCD" w14:textId="17F7C1DA" w:rsidR="5CF6815B" w:rsidRDefault="5CF6815B" w:rsidP="5CF6815B">
      <w:pPr>
        <w:spacing w:after="120"/>
        <w:rPr>
          <w:rFonts w:ascii="Morningstar 1" w:eastAsia="Calibri" w:hAnsi="Morningstar 1"/>
          <w:sz w:val="22"/>
          <w:szCs w:val="22"/>
        </w:rPr>
      </w:pPr>
    </w:p>
    <w:p w14:paraId="1B8C32FD" w14:textId="353EC4CA" w:rsidR="009D27B6" w:rsidRPr="009C6816" w:rsidRDefault="007135D6" w:rsidP="00B72C69">
      <w:pPr>
        <w:spacing w:after="120"/>
        <w:rPr>
          <w:rFonts w:ascii="Morningstar 1" w:eastAsia="Calibri" w:hAnsi="Morningstar 1"/>
          <w:sz w:val="22"/>
          <w:szCs w:val="22"/>
        </w:rPr>
      </w:pPr>
      <w:r w:rsidRPr="009C6816">
        <w:rPr>
          <w:rFonts w:ascii="Morningstar 1" w:eastAsia="Calibri" w:hAnsi="Morningstar 1"/>
          <w:sz w:val="22"/>
          <w:szCs w:val="22"/>
        </w:rPr>
        <w:t>Regards</w:t>
      </w:r>
      <w:r w:rsidR="008C48F6" w:rsidRPr="009C6816">
        <w:rPr>
          <w:rFonts w:ascii="Morningstar 1" w:eastAsia="Calibri" w:hAnsi="Morningstar 1"/>
          <w:sz w:val="22"/>
          <w:szCs w:val="22"/>
        </w:rPr>
        <w:t>,</w:t>
      </w:r>
    </w:p>
    <w:p w14:paraId="099D916C" w14:textId="473451E2" w:rsidR="003B07EB" w:rsidRPr="009C6816" w:rsidRDefault="003B07EB" w:rsidP="00B72C69">
      <w:pPr>
        <w:spacing w:after="120"/>
        <w:rPr>
          <w:rFonts w:ascii="Morningstar 1" w:eastAsia="Calibri" w:hAnsi="Morningstar 1"/>
          <w:sz w:val="22"/>
          <w:szCs w:val="22"/>
        </w:rPr>
      </w:pPr>
      <w:r w:rsidRPr="009C6816">
        <w:rPr>
          <w:rFonts w:ascii="Morningstar 1" w:eastAsia="Calibri" w:hAnsi="Morningstar 1"/>
          <w:sz w:val="22"/>
          <w:szCs w:val="22"/>
        </w:rPr>
        <w:t>Adviser</w:t>
      </w:r>
    </w:p>
    <w:p w14:paraId="5AAA6C42" w14:textId="0A8D4B7D" w:rsidR="0030363F" w:rsidRPr="009C6816" w:rsidRDefault="0030363F" w:rsidP="0030363F">
      <w:pPr>
        <w:spacing w:after="160" w:line="259" w:lineRule="auto"/>
        <w:rPr>
          <w:rFonts w:ascii="Morningstar 1" w:eastAsia="Calibri" w:hAnsi="Morningstar 1"/>
          <w:b/>
          <w:bCs/>
          <w:color w:val="FF0000"/>
          <w:sz w:val="22"/>
          <w:szCs w:val="22"/>
        </w:rPr>
      </w:pPr>
      <w:r w:rsidRPr="009C6816">
        <w:rPr>
          <w:rFonts w:ascii="Morningstar 1" w:eastAsia="Calibri" w:hAnsi="Morningstar 1"/>
          <w:b/>
          <w:bCs/>
          <w:color w:val="FF0000"/>
          <w:sz w:val="22"/>
          <w:szCs w:val="22"/>
        </w:rPr>
        <w:t>Growth (70)</w:t>
      </w:r>
    </w:p>
    <w:p w14:paraId="146EDF65" w14:textId="77777777" w:rsidR="00484249" w:rsidRPr="009C6816" w:rsidRDefault="00484249" w:rsidP="00484249">
      <w:pPr>
        <w:spacing w:after="120" w:line="259" w:lineRule="auto"/>
        <w:rPr>
          <w:rFonts w:ascii="Morningstar 1" w:eastAsia="Calibri" w:hAnsi="Morningstar 1"/>
          <w:sz w:val="22"/>
          <w:szCs w:val="22"/>
        </w:rPr>
      </w:pPr>
      <w:r w:rsidRPr="009C6816">
        <w:rPr>
          <w:rFonts w:ascii="Morningstar 1" w:eastAsia="Calibri" w:hAnsi="Morningstar 1"/>
          <w:sz w:val="22"/>
          <w:szCs w:val="22"/>
        </w:rPr>
        <w:lastRenderedPageBreak/>
        <w:t>Dear Client,</w:t>
      </w:r>
    </w:p>
    <w:p w14:paraId="21E9AF06" w14:textId="77777777" w:rsidR="006107F8" w:rsidRPr="009C6816" w:rsidRDefault="006107F8" w:rsidP="006107F8">
      <w:pPr>
        <w:pStyle w:val="ListParagraph"/>
        <w:spacing w:after="120"/>
        <w:ind w:left="0"/>
        <w:contextualSpacing w:val="0"/>
        <w:rPr>
          <w:rFonts w:ascii="Morningstar 1" w:hAnsi="Morningstar 1"/>
          <w:lang w:val="en-AU"/>
        </w:rPr>
      </w:pPr>
      <w:r w:rsidRPr="002F762E">
        <w:rPr>
          <w:rFonts w:ascii="Morningstar 1" w:hAnsi="Morningstar 1"/>
          <w:lang w:val="en-AU"/>
        </w:rPr>
        <w:t xml:space="preserve">Morningstar has updated the Morningstar Medalist Core Portfolios in April. These changes aim to reflect </w:t>
      </w:r>
      <w:r>
        <w:rPr>
          <w:rFonts w:ascii="Morningstar 1" w:hAnsi="Morningstar 1"/>
          <w:lang w:val="en-AU"/>
        </w:rPr>
        <w:t>their</w:t>
      </w:r>
      <w:r w:rsidRPr="002F762E">
        <w:rPr>
          <w:rFonts w:ascii="Morningstar 1" w:hAnsi="Morningstar 1"/>
          <w:lang w:val="en-AU"/>
        </w:rPr>
        <w:t xml:space="preserve"> top ideas in terms of asset allocation, manager selection, and manager allocation. </w:t>
      </w:r>
    </w:p>
    <w:p w14:paraId="5B84A539" w14:textId="300683F8" w:rsidR="00484249" w:rsidRPr="009C6816" w:rsidRDefault="00484249" w:rsidP="00484249">
      <w:pPr>
        <w:pStyle w:val="ListParagraph"/>
        <w:spacing w:after="120"/>
        <w:ind w:left="0"/>
        <w:contextualSpacing w:val="0"/>
        <w:rPr>
          <w:rFonts w:ascii="Morningstar 1" w:eastAsia="Calibri" w:hAnsi="Morningstar 1"/>
        </w:rPr>
      </w:pPr>
      <w:r w:rsidRPr="009C6816">
        <w:rPr>
          <w:rFonts w:ascii="Morningstar 1" w:eastAsia="Calibri" w:hAnsi="Morningstar 1"/>
        </w:rPr>
        <w:t xml:space="preserve">I have summarised these trades below: </w:t>
      </w:r>
    </w:p>
    <w:tbl>
      <w:tblPr>
        <w:tblW w:w="6737" w:type="dxa"/>
        <w:jc w:val="center"/>
        <w:tblLook w:val="04A0" w:firstRow="1" w:lastRow="0" w:firstColumn="1" w:lastColumn="0" w:noHBand="0" w:noVBand="1"/>
      </w:tblPr>
      <w:tblGrid>
        <w:gridCol w:w="4580"/>
        <w:gridCol w:w="1861"/>
        <w:gridCol w:w="296"/>
      </w:tblGrid>
      <w:tr w:rsidR="006B17F5" w:rsidRPr="006B17F5" w14:paraId="4EDD1BC4" w14:textId="77777777" w:rsidTr="006B17F5">
        <w:trPr>
          <w:gridAfter w:val="1"/>
          <w:wAfter w:w="296" w:type="dxa"/>
          <w:trHeight w:val="471"/>
          <w:jc w:val="center"/>
        </w:trPr>
        <w:tc>
          <w:tcPr>
            <w:tcW w:w="4580" w:type="dxa"/>
            <w:vMerge w:val="restart"/>
            <w:tcBorders>
              <w:top w:val="single" w:sz="8" w:space="0" w:color="auto"/>
              <w:left w:val="nil"/>
              <w:bottom w:val="nil"/>
              <w:right w:val="nil"/>
            </w:tcBorders>
            <w:shd w:val="clear" w:color="000000" w:fill="D9D9D9"/>
            <w:vAlign w:val="center"/>
            <w:hideMark/>
          </w:tcPr>
          <w:p w14:paraId="03A63832" w14:textId="77777777" w:rsidR="006B17F5" w:rsidRPr="006B17F5" w:rsidRDefault="006B17F5" w:rsidP="006B17F5">
            <w:pPr>
              <w:rPr>
                <w:rFonts w:ascii="Morningstar 1" w:eastAsia="Times New Roman" w:hAnsi="Morningstar 1" w:cs="Calibri"/>
                <w:b/>
                <w:bCs/>
                <w:color w:val="000000"/>
                <w:sz w:val="22"/>
                <w:szCs w:val="22"/>
                <w:lang w:val="en-AU" w:eastAsia="en-AU"/>
              </w:rPr>
            </w:pPr>
            <w:r w:rsidRPr="006B17F5">
              <w:rPr>
                <w:rFonts w:ascii="Morningstar 1" w:eastAsia="Times New Roman" w:hAnsi="Morningstar 1" w:cs="Calibri"/>
                <w:b/>
                <w:bCs/>
                <w:color w:val="000000"/>
                <w:sz w:val="22"/>
                <w:szCs w:val="22"/>
                <w:lang w:eastAsia="en-AU"/>
              </w:rPr>
              <w:t xml:space="preserve">Security </w:t>
            </w:r>
          </w:p>
        </w:tc>
        <w:tc>
          <w:tcPr>
            <w:tcW w:w="1861" w:type="dxa"/>
            <w:vMerge w:val="restart"/>
            <w:tcBorders>
              <w:top w:val="single" w:sz="8" w:space="0" w:color="auto"/>
              <w:left w:val="nil"/>
              <w:bottom w:val="nil"/>
              <w:right w:val="nil"/>
            </w:tcBorders>
            <w:shd w:val="clear" w:color="000000" w:fill="D9D9D9"/>
            <w:vAlign w:val="center"/>
            <w:hideMark/>
          </w:tcPr>
          <w:p w14:paraId="1AC69209" w14:textId="77777777" w:rsidR="006B17F5" w:rsidRPr="006B17F5" w:rsidRDefault="006B17F5" w:rsidP="006B17F5">
            <w:pPr>
              <w:jc w:val="center"/>
              <w:rPr>
                <w:rFonts w:ascii="Morningstar 1" w:eastAsia="Times New Roman" w:hAnsi="Morningstar 1" w:cs="Calibri"/>
                <w:b/>
                <w:bCs/>
                <w:color w:val="000000"/>
                <w:sz w:val="22"/>
                <w:szCs w:val="22"/>
                <w:lang w:val="en-AU" w:eastAsia="en-AU"/>
              </w:rPr>
            </w:pPr>
            <w:r w:rsidRPr="006B17F5">
              <w:rPr>
                <w:rFonts w:ascii="Morningstar 1" w:eastAsia="Times New Roman" w:hAnsi="Morningstar 1" w:cs="Calibri"/>
                <w:b/>
                <w:bCs/>
                <w:color w:val="000000"/>
                <w:sz w:val="22"/>
                <w:szCs w:val="22"/>
                <w:lang w:eastAsia="en-AU"/>
              </w:rPr>
              <w:t>Portfolio Action</w:t>
            </w:r>
          </w:p>
        </w:tc>
      </w:tr>
      <w:tr w:rsidR="006B17F5" w:rsidRPr="006B17F5" w14:paraId="5273175A" w14:textId="77777777" w:rsidTr="006B17F5">
        <w:trPr>
          <w:trHeight w:val="60"/>
          <w:jc w:val="center"/>
        </w:trPr>
        <w:tc>
          <w:tcPr>
            <w:tcW w:w="4580" w:type="dxa"/>
            <w:vMerge/>
            <w:tcBorders>
              <w:top w:val="single" w:sz="8" w:space="0" w:color="auto"/>
              <w:left w:val="nil"/>
              <w:bottom w:val="nil"/>
              <w:right w:val="nil"/>
            </w:tcBorders>
            <w:vAlign w:val="center"/>
            <w:hideMark/>
          </w:tcPr>
          <w:p w14:paraId="137F0666" w14:textId="77777777" w:rsidR="006B17F5" w:rsidRPr="006B17F5" w:rsidRDefault="006B17F5" w:rsidP="006B17F5">
            <w:pPr>
              <w:rPr>
                <w:rFonts w:ascii="Morningstar 1" w:eastAsia="Times New Roman" w:hAnsi="Morningstar 1" w:cs="Calibri"/>
                <w:b/>
                <w:bCs/>
                <w:color w:val="000000"/>
                <w:sz w:val="22"/>
                <w:szCs w:val="22"/>
                <w:lang w:val="en-AU" w:eastAsia="en-AU"/>
              </w:rPr>
            </w:pPr>
          </w:p>
        </w:tc>
        <w:tc>
          <w:tcPr>
            <w:tcW w:w="1861" w:type="dxa"/>
            <w:vMerge/>
            <w:tcBorders>
              <w:top w:val="single" w:sz="8" w:space="0" w:color="auto"/>
              <w:left w:val="nil"/>
              <w:bottom w:val="nil"/>
              <w:right w:val="nil"/>
            </w:tcBorders>
            <w:vAlign w:val="center"/>
            <w:hideMark/>
          </w:tcPr>
          <w:p w14:paraId="0B252284" w14:textId="77777777" w:rsidR="006B17F5" w:rsidRPr="006B17F5" w:rsidRDefault="006B17F5" w:rsidP="006B17F5">
            <w:pPr>
              <w:rPr>
                <w:rFonts w:ascii="Morningstar 1" w:eastAsia="Times New Roman" w:hAnsi="Morningstar 1" w:cs="Calibri"/>
                <w:b/>
                <w:bCs/>
                <w:color w:val="000000"/>
                <w:sz w:val="22"/>
                <w:szCs w:val="22"/>
                <w:lang w:val="en-AU" w:eastAsia="en-AU"/>
              </w:rPr>
            </w:pPr>
          </w:p>
        </w:tc>
        <w:tc>
          <w:tcPr>
            <w:tcW w:w="296" w:type="dxa"/>
            <w:tcBorders>
              <w:top w:val="nil"/>
              <w:left w:val="nil"/>
              <w:bottom w:val="nil"/>
              <w:right w:val="nil"/>
            </w:tcBorders>
            <w:shd w:val="clear" w:color="auto" w:fill="auto"/>
            <w:noWrap/>
            <w:vAlign w:val="bottom"/>
            <w:hideMark/>
          </w:tcPr>
          <w:p w14:paraId="2AA9E2EB" w14:textId="77777777" w:rsidR="006B17F5" w:rsidRPr="006B17F5" w:rsidRDefault="006B17F5" w:rsidP="006B17F5">
            <w:pPr>
              <w:jc w:val="center"/>
              <w:rPr>
                <w:rFonts w:ascii="Morningstar 1" w:eastAsia="Times New Roman" w:hAnsi="Morningstar 1" w:cs="Calibri"/>
                <w:b/>
                <w:bCs/>
                <w:color w:val="000000"/>
                <w:sz w:val="22"/>
                <w:szCs w:val="22"/>
                <w:lang w:val="en-AU" w:eastAsia="en-AU"/>
              </w:rPr>
            </w:pPr>
          </w:p>
        </w:tc>
      </w:tr>
      <w:tr w:rsidR="006B17F5" w:rsidRPr="006B17F5" w14:paraId="7BFE5EFF" w14:textId="77777777" w:rsidTr="006B17F5">
        <w:trPr>
          <w:trHeight w:val="304"/>
          <w:jc w:val="center"/>
        </w:trPr>
        <w:tc>
          <w:tcPr>
            <w:tcW w:w="4580" w:type="dxa"/>
            <w:tcBorders>
              <w:top w:val="nil"/>
              <w:left w:val="nil"/>
              <w:bottom w:val="single" w:sz="8" w:space="0" w:color="auto"/>
              <w:right w:val="nil"/>
            </w:tcBorders>
            <w:shd w:val="clear" w:color="000000" w:fill="F2F2F2"/>
            <w:vAlign w:val="center"/>
            <w:hideMark/>
          </w:tcPr>
          <w:p w14:paraId="2453CA90" w14:textId="77777777" w:rsidR="006B17F5" w:rsidRPr="006B17F5" w:rsidRDefault="006B17F5" w:rsidP="006B17F5">
            <w:pPr>
              <w:rPr>
                <w:rFonts w:ascii="Morningstar 1" w:eastAsia="Times New Roman" w:hAnsi="Morningstar 1" w:cs="Calibri"/>
                <w:b/>
                <w:bCs/>
                <w:color w:val="000000"/>
                <w:sz w:val="22"/>
                <w:szCs w:val="22"/>
                <w:lang w:val="en-AU" w:eastAsia="en-AU"/>
              </w:rPr>
            </w:pPr>
            <w:r w:rsidRPr="006B17F5">
              <w:rPr>
                <w:rFonts w:ascii="Morningstar 1" w:eastAsia="Times New Roman" w:hAnsi="Morningstar 1" w:cs="Calibri"/>
                <w:b/>
                <w:bCs/>
                <w:color w:val="000000"/>
                <w:sz w:val="22"/>
                <w:szCs w:val="22"/>
                <w:lang w:eastAsia="en-AU"/>
              </w:rPr>
              <w:t>Australian Shares</w:t>
            </w:r>
          </w:p>
        </w:tc>
        <w:tc>
          <w:tcPr>
            <w:tcW w:w="1861" w:type="dxa"/>
            <w:tcBorders>
              <w:top w:val="nil"/>
              <w:left w:val="nil"/>
              <w:bottom w:val="single" w:sz="8" w:space="0" w:color="auto"/>
              <w:right w:val="nil"/>
            </w:tcBorders>
            <w:shd w:val="clear" w:color="000000" w:fill="F2F2F2"/>
            <w:vAlign w:val="center"/>
            <w:hideMark/>
          </w:tcPr>
          <w:p w14:paraId="3D8EBB3F" w14:textId="77777777" w:rsidR="006B17F5" w:rsidRPr="006B17F5" w:rsidRDefault="006B17F5" w:rsidP="006B17F5">
            <w:pPr>
              <w:jc w:val="center"/>
              <w:rPr>
                <w:rFonts w:ascii="Morningstar 1" w:eastAsia="Times New Roman" w:hAnsi="Morningstar 1" w:cs="Calibri"/>
                <w:b/>
                <w:bCs/>
                <w:color w:val="00B050"/>
                <w:sz w:val="22"/>
                <w:szCs w:val="22"/>
                <w:lang w:val="en-AU" w:eastAsia="en-AU"/>
              </w:rPr>
            </w:pPr>
            <w:r w:rsidRPr="006B17F5">
              <w:rPr>
                <w:rFonts w:ascii="Morningstar 1" w:eastAsia="Times New Roman" w:hAnsi="Morningstar 1" w:cs="Calibri"/>
                <w:b/>
                <w:bCs/>
                <w:color w:val="00B050"/>
                <w:sz w:val="22"/>
                <w:szCs w:val="22"/>
                <w:lang w:eastAsia="en-AU"/>
              </w:rPr>
              <w:t> </w:t>
            </w:r>
          </w:p>
        </w:tc>
        <w:tc>
          <w:tcPr>
            <w:tcW w:w="296" w:type="dxa"/>
            <w:vAlign w:val="center"/>
            <w:hideMark/>
          </w:tcPr>
          <w:p w14:paraId="27B23DEC" w14:textId="77777777" w:rsidR="006B17F5" w:rsidRPr="006B17F5" w:rsidRDefault="006B17F5" w:rsidP="006B17F5">
            <w:pPr>
              <w:rPr>
                <w:rFonts w:eastAsia="Times New Roman"/>
                <w:sz w:val="20"/>
                <w:szCs w:val="20"/>
                <w:lang w:val="en-AU" w:eastAsia="en-AU"/>
              </w:rPr>
            </w:pPr>
          </w:p>
        </w:tc>
      </w:tr>
      <w:tr w:rsidR="006B17F5" w:rsidRPr="006B17F5" w14:paraId="3AD10ADA" w14:textId="77777777" w:rsidTr="006B17F5">
        <w:trPr>
          <w:trHeight w:val="304"/>
          <w:jc w:val="center"/>
        </w:trPr>
        <w:tc>
          <w:tcPr>
            <w:tcW w:w="4580" w:type="dxa"/>
            <w:tcBorders>
              <w:top w:val="nil"/>
              <w:left w:val="nil"/>
              <w:bottom w:val="single" w:sz="8" w:space="0" w:color="auto"/>
              <w:right w:val="nil"/>
            </w:tcBorders>
            <w:shd w:val="clear" w:color="auto" w:fill="auto"/>
            <w:noWrap/>
            <w:vAlign w:val="center"/>
            <w:hideMark/>
          </w:tcPr>
          <w:p w14:paraId="688F5BCA" w14:textId="77777777" w:rsidR="006B17F5" w:rsidRPr="006B17F5" w:rsidRDefault="006B17F5" w:rsidP="006B17F5">
            <w:pPr>
              <w:rPr>
                <w:rFonts w:ascii="Morningstar 1" w:eastAsia="Times New Roman" w:hAnsi="Morningstar 1" w:cs="Calibri"/>
                <w:color w:val="000000"/>
                <w:sz w:val="22"/>
                <w:szCs w:val="22"/>
                <w:lang w:val="en-AU" w:eastAsia="en-AU"/>
              </w:rPr>
            </w:pPr>
            <w:r w:rsidRPr="006B17F5">
              <w:rPr>
                <w:rFonts w:ascii="Morningstar 1" w:eastAsia="Times New Roman" w:hAnsi="Morningstar 1" w:cs="Calibri"/>
                <w:color w:val="000000"/>
                <w:sz w:val="22"/>
                <w:szCs w:val="22"/>
                <w:lang w:eastAsia="en-AU"/>
              </w:rPr>
              <w:t>Platypus Australian Eqs Fd Instl Units</w:t>
            </w:r>
          </w:p>
        </w:tc>
        <w:tc>
          <w:tcPr>
            <w:tcW w:w="1861" w:type="dxa"/>
            <w:tcBorders>
              <w:top w:val="nil"/>
              <w:left w:val="nil"/>
              <w:bottom w:val="single" w:sz="8" w:space="0" w:color="auto"/>
              <w:right w:val="nil"/>
            </w:tcBorders>
            <w:shd w:val="clear" w:color="auto" w:fill="auto"/>
            <w:vAlign w:val="center"/>
            <w:hideMark/>
          </w:tcPr>
          <w:p w14:paraId="5EC137A9" w14:textId="77777777" w:rsidR="006B17F5" w:rsidRPr="006B17F5" w:rsidRDefault="006B17F5" w:rsidP="006B17F5">
            <w:pPr>
              <w:jc w:val="center"/>
              <w:rPr>
                <w:rFonts w:ascii="Morningstar 1" w:eastAsia="Times New Roman" w:hAnsi="Morningstar 1" w:cs="Calibri"/>
                <w:b/>
                <w:bCs/>
                <w:color w:val="00B050"/>
                <w:sz w:val="22"/>
                <w:szCs w:val="22"/>
                <w:lang w:val="en-AU" w:eastAsia="en-AU"/>
              </w:rPr>
            </w:pPr>
            <w:r w:rsidRPr="006B17F5">
              <w:rPr>
                <w:rFonts w:ascii="Morningstar 1" w:eastAsia="Times New Roman" w:hAnsi="Morningstar 1" w:cs="Calibri"/>
                <w:b/>
                <w:bCs/>
                <w:color w:val="00B050"/>
                <w:sz w:val="22"/>
                <w:szCs w:val="22"/>
                <w:lang w:eastAsia="en-AU"/>
              </w:rPr>
              <w:t>Increase</w:t>
            </w:r>
          </w:p>
        </w:tc>
        <w:tc>
          <w:tcPr>
            <w:tcW w:w="296" w:type="dxa"/>
            <w:vAlign w:val="center"/>
            <w:hideMark/>
          </w:tcPr>
          <w:p w14:paraId="35814216" w14:textId="77777777" w:rsidR="006B17F5" w:rsidRPr="006B17F5" w:rsidRDefault="006B17F5" w:rsidP="006B17F5">
            <w:pPr>
              <w:rPr>
                <w:rFonts w:eastAsia="Times New Roman"/>
                <w:sz w:val="20"/>
                <w:szCs w:val="20"/>
                <w:lang w:val="en-AU" w:eastAsia="en-AU"/>
              </w:rPr>
            </w:pPr>
          </w:p>
        </w:tc>
      </w:tr>
      <w:tr w:rsidR="006B17F5" w:rsidRPr="006B17F5" w14:paraId="66127AC6" w14:textId="77777777" w:rsidTr="006B17F5">
        <w:trPr>
          <w:trHeight w:val="304"/>
          <w:jc w:val="center"/>
        </w:trPr>
        <w:tc>
          <w:tcPr>
            <w:tcW w:w="4580" w:type="dxa"/>
            <w:tcBorders>
              <w:top w:val="nil"/>
              <w:left w:val="nil"/>
              <w:bottom w:val="single" w:sz="8" w:space="0" w:color="auto"/>
              <w:right w:val="nil"/>
            </w:tcBorders>
            <w:shd w:val="clear" w:color="000000" w:fill="F2F2F2"/>
            <w:vAlign w:val="center"/>
            <w:hideMark/>
          </w:tcPr>
          <w:p w14:paraId="009A2444" w14:textId="77777777" w:rsidR="006B17F5" w:rsidRPr="006B17F5" w:rsidRDefault="006B17F5" w:rsidP="006B17F5">
            <w:pPr>
              <w:rPr>
                <w:rFonts w:ascii="Morningstar 1" w:eastAsia="Times New Roman" w:hAnsi="Morningstar 1" w:cs="Calibri"/>
                <w:b/>
                <w:bCs/>
                <w:color w:val="000000"/>
                <w:sz w:val="22"/>
                <w:szCs w:val="22"/>
                <w:lang w:val="en-AU" w:eastAsia="en-AU"/>
              </w:rPr>
            </w:pPr>
            <w:r w:rsidRPr="006B17F5">
              <w:rPr>
                <w:rFonts w:ascii="Morningstar 1" w:eastAsia="Times New Roman" w:hAnsi="Morningstar 1" w:cs="Calibri"/>
                <w:b/>
                <w:bCs/>
                <w:color w:val="000000"/>
                <w:sz w:val="22"/>
                <w:szCs w:val="22"/>
                <w:lang w:eastAsia="en-AU"/>
              </w:rPr>
              <w:t>International Shares</w:t>
            </w:r>
          </w:p>
        </w:tc>
        <w:tc>
          <w:tcPr>
            <w:tcW w:w="1861" w:type="dxa"/>
            <w:tcBorders>
              <w:top w:val="nil"/>
              <w:left w:val="nil"/>
              <w:bottom w:val="single" w:sz="8" w:space="0" w:color="auto"/>
              <w:right w:val="nil"/>
            </w:tcBorders>
            <w:shd w:val="clear" w:color="000000" w:fill="F2F2F2"/>
            <w:vAlign w:val="center"/>
            <w:hideMark/>
          </w:tcPr>
          <w:p w14:paraId="346DFABA" w14:textId="77777777" w:rsidR="006B17F5" w:rsidRPr="006B17F5" w:rsidRDefault="006B17F5" w:rsidP="006B17F5">
            <w:pPr>
              <w:jc w:val="center"/>
              <w:rPr>
                <w:rFonts w:ascii="Morningstar 1" w:eastAsia="Times New Roman" w:hAnsi="Morningstar 1" w:cs="Calibri"/>
                <w:b/>
                <w:bCs/>
                <w:color w:val="00B050"/>
                <w:sz w:val="22"/>
                <w:szCs w:val="22"/>
                <w:lang w:val="en-AU" w:eastAsia="en-AU"/>
              </w:rPr>
            </w:pPr>
            <w:r w:rsidRPr="006B17F5">
              <w:rPr>
                <w:rFonts w:ascii="Morningstar 1" w:eastAsia="Times New Roman" w:hAnsi="Morningstar 1" w:cs="Calibri"/>
                <w:b/>
                <w:bCs/>
                <w:color w:val="00B050"/>
                <w:sz w:val="22"/>
                <w:szCs w:val="22"/>
                <w:lang w:eastAsia="en-AU"/>
              </w:rPr>
              <w:t> </w:t>
            </w:r>
          </w:p>
        </w:tc>
        <w:tc>
          <w:tcPr>
            <w:tcW w:w="296" w:type="dxa"/>
            <w:vAlign w:val="center"/>
            <w:hideMark/>
          </w:tcPr>
          <w:p w14:paraId="7A3889FC" w14:textId="77777777" w:rsidR="006B17F5" w:rsidRPr="006B17F5" w:rsidRDefault="006B17F5" w:rsidP="006B17F5">
            <w:pPr>
              <w:rPr>
                <w:rFonts w:eastAsia="Times New Roman"/>
                <w:sz w:val="20"/>
                <w:szCs w:val="20"/>
                <w:lang w:val="en-AU" w:eastAsia="en-AU"/>
              </w:rPr>
            </w:pPr>
          </w:p>
        </w:tc>
      </w:tr>
      <w:tr w:rsidR="006B17F5" w:rsidRPr="006B17F5" w14:paraId="5346852D" w14:textId="77777777" w:rsidTr="006B17F5">
        <w:trPr>
          <w:trHeight w:val="304"/>
          <w:jc w:val="center"/>
        </w:trPr>
        <w:tc>
          <w:tcPr>
            <w:tcW w:w="4580" w:type="dxa"/>
            <w:tcBorders>
              <w:top w:val="nil"/>
              <w:left w:val="nil"/>
              <w:bottom w:val="single" w:sz="8" w:space="0" w:color="auto"/>
              <w:right w:val="nil"/>
            </w:tcBorders>
            <w:shd w:val="clear" w:color="auto" w:fill="auto"/>
            <w:noWrap/>
            <w:vAlign w:val="center"/>
            <w:hideMark/>
          </w:tcPr>
          <w:p w14:paraId="6DFCE7A7" w14:textId="77777777" w:rsidR="006B17F5" w:rsidRPr="006B17F5" w:rsidRDefault="006B17F5" w:rsidP="006B17F5">
            <w:pPr>
              <w:rPr>
                <w:rFonts w:ascii="Morningstar 1" w:eastAsia="Times New Roman" w:hAnsi="Morningstar 1" w:cs="Calibri"/>
                <w:color w:val="000000"/>
                <w:sz w:val="22"/>
                <w:szCs w:val="22"/>
                <w:lang w:val="en-AU" w:eastAsia="en-AU"/>
              </w:rPr>
            </w:pPr>
            <w:r w:rsidRPr="006B17F5">
              <w:rPr>
                <w:rFonts w:ascii="Morningstar 1" w:eastAsia="Times New Roman" w:hAnsi="Morningstar 1" w:cs="Calibri"/>
                <w:color w:val="000000"/>
                <w:sz w:val="22"/>
                <w:szCs w:val="22"/>
                <w:lang w:eastAsia="en-AU"/>
              </w:rPr>
              <w:t>MFS Global Equity Trust II - I Hedged</w:t>
            </w:r>
          </w:p>
        </w:tc>
        <w:tc>
          <w:tcPr>
            <w:tcW w:w="1861" w:type="dxa"/>
            <w:tcBorders>
              <w:top w:val="nil"/>
              <w:left w:val="nil"/>
              <w:bottom w:val="single" w:sz="8" w:space="0" w:color="auto"/>
              <w:right w:val="nil"/>
            </w:tcBorders>
            <w:shd w:val="clear" w:color="auto" w:fill="auto"/>
            <w:vAlign w:val="center"/>
            <w:hideMark/>
          </w:tcPr>
          <w:p w14:paraId="1A4FD6D3" w14:textId="77777777" w:rsidR="006B17F5" w:rsidRPr="006B17F5" w:rsidRDefault="006B17F5" w:rsidP="006B17F5">
            <w:pPr>
              <w:jc w:val="center"/>
              <w:rPr>
                <w:rFonts w:ascii="Morningstar 1" w:eastAsia="Times New Roman" w:hAnsi="Morningstar 1" w:cs="Calibri"/>
                <w:b/>
                <w:bCs/>
                <w:color w:val="00B050"/>
                <w:sz w:val="22"/>
                <w:szCs w:val="22"/>
                <w:lang w:val="en-AU" w:eastAsia="en-AU"/>
              </w:rPr>
            </w:pPr>
            <w:r w:rsidRPr="006B17F5">
              <w:rPr>
                <w:rFonts w:ascii="Morningstar 1" w:eastAsia="Times New Roman" w:hAnsi="Morningstar 1" w:cs="Calibri"/>
                <w:b/>
                <w:bCs/>
                <w:color w:val="00B050"/>
                <w:sz w:val="22"/>
                <w:szCs w:val="22"/>
                <w:lang w:eastAsia="en-AU"/>
              </w:rPr>
              <w:t>Increase</w:t>
            </w:r>
          </w:p>
        </w:tc>
        <w:tc>
          <w:tcPr>
            <w:tcW w:w="296" w:type="dxa"/>
            <w:vAlign w:val="center"/>
            <w:hideMark/>
          </w:tcPr>
          <w:p w14:paraId="03F11886" w14:textId="77777777" w:rsidR="006B17F5" w:rsidRPr="006B17F5" w:rsidRDefault="006B17F5" w:rsidP="006B17F5">
            <w:pPr>
              <w:rPr>
                <w:rFonts w:eastAsia="Times New Roman"/>
                <w:sz w:val="20"/>
                <w:szCs w:val="20"/>
                <w:lang w:val="en-AU" w:eastAsia="en-AU"/>
              </w:rPr>
            </w:pPr>
          </w:p>
        </w:tc>
      </w:tr>
      <w:tr w:rsidR="006B17F5" w:rsidRPr="006B17F5" w14:paraId="0F8B6514" w14:textId="77777777" w:rsidTr="006B17F5">
        <w:trPr>
          <w:trHeight w:val="304"/>
          <w:jc w:val="center"/>
        </w:trPr>
        <w:tc>
          <w:tcPr>
            <w:tcW w:w="4580" w:type="dxa"/>
            <w:tcBorders>
              <w:top w:val="nil"/>
              <w:left w:val="nil"/>
              <w:bottom w:val="single" w:sz="8" w:space="0" w:color="auto"/>
              <w:right w:val="nil"/>
            </w:tcBorders>
            <w:shd w:val="clear" w:color="auto" w:fill="auto"/>
            <w:noWrap/>
            <w:vAlign w:val="center"/>
            <w:hideMark/>
          </w:tcPr>
          <w:p w14:paraId="536FE78A" w14:textId="77777777" w:rsidR="006B17F5" w:rsidRPr="006B17F5" w:rsidRDefault="006B17F5" w:rsidP="006B17F5">
            <w:pPr>
              <w:rPr>
                <w:rFonts w:ascii="Morningstar 1" w:eastAsia="Times New Roman" w:hAnsi="Morningstar 1" w:cs="Calibri"/>
                <w:color w:val="000000"/>
                <w:sz w:val="22"/>
                <w:szCs w:val="22"/>
                <w:lang w:val="en-AU" w:eastAsia="en-AU"/>
              </w:rPr>
            </w:pPr>
            <w:r w:rsidRPr="006B17F5">
              <w:rPr>
                <w:rFonts w:ascii="Morningstar 1" w:eastAsia="Times New Roman" w:hAnsi="Morningstar 1" w:cs="Calibri"/>
                <w:color w:val="000000"/>
                <w:sz w:val="22"/>
                <w:szCs w:val="22"/>
                <w:lang w:eastAsia="en-AU"/>
              </w:rPr>
              <w:t>GQG Partners Global Equity AUD Hedged</w:t>
            </w:r>
          </w:p>
        </w:tc>
        <w:tc>
          <w:tcPr>
            <w:tcW w:w="1861" w:type="dxa"/>
            <w:tcBorders>
              <w:top w:val="nil"/>
              <w:left w:val="nil"/>
              <w:bottom w:val="single" w:sz="8" w:space="0" w:color="auto"/>
              <w:right w:val="nil"/>
            </w:tcBorders>
            <w:shd w:val="clear" w:color="auto" w:fill="auto"/>
            <w:vAlign w:val="center"/>
            <w:hideMark/>
          </w:tcPr>
          <w:p w14:paraId="07126AF5" w14:textId="77777777" w:rsidR="006B17F5" w:rsidRPr="006B17F5" w:rsidRDefault="006B17F5" w:rsidP="006B17F5">
            <w:pPr>
              <w:jc w:val="center"/>
              <w:rPr>
                <w:rFonts w:ascii="Morningstar 1" w:eastAsia="Times New Roman" w:hAnsi="Morningstar 1" w:cs="Calibri"/>
                <w:b/>
                <w:bCs/>
                <w:color w:val="FF0000"/>
                <w:sz w:val="22"/>
                <w:szCs w:val="22"/>
                <w:lang w:val="en-AU" w:eastAsia="en-AU"/>
              </w:rPr>
            </w:pPr>
            <w:r w:rsidRPr="006B17F5">
              <w:rPr>
                <w:rFonts w:ascii="Morningstar 1" w:eastAsia="Times New Roman" w:hAnsi="Morningstar 1" w:cs="Calibri"/>
                <w:b/>
                <w:bCs/>
                <w:color w:val="FF0000"/>
                <w:sz w:val="22"/>
                <w:szCs w:val="22"/>
                <w:lang w:eastAsia="en-AU"/>
              </w:rPr>
              <w:t>Decrease</w:t>
            </w:r>
          </w:p>
        </w:tc>
        <w:tc>
          <w:tcPr>
            <w:tcW w:w="296" w:type="dxa"/>
            <w:vAlign w:val="center"/>
            <w:hideMark/>
          </w:tcPr>
          <w:p w14:paraId="689DF9F7" w14:textId="77777777" w:rsidR="006B17F5" w:rsidRPr="006B17F5" w:rsidRDefault="006B17F5" w:rsidP="006B17F5">
            <w:pPr>
              <w:rPr>
                <w:rFonts w:eastAsia="Times New Roman"/>
                <w:sz w:val="20"/>
                <w:szCs w:val="20"/>
                <w:lang w:val="en-AU" w:eastAsia="en-AU"/>
              </w:rPr>
            </w:pPr>
          </w:p>
        </w:tc>
      </w:tr>
      <w:tr w:rsidR="006B17F5" w:rsidRPr="006B17F5" w14:paraId="0FBB420A" w14:textId="77777777" w:rsidTr="006B17F5">
        <w:trPr>
          <w:trHeight w:val="304"/>
          <w:jc w:val="center"/>
        </w:trPr>
        <w:tc>
          <w:tcPr>
            <w:tcW w:w="4580" w:type="dxa"/>
            <w:tcBorders>
              <w:top w:val="nil"/>
              <w:left w:val="nil"/>
              <w:bottom w:val="single" w:sz="8" w:space="0" w:color="auto"/>
              <w:right w:val="nil"/>
            </w:tcBorders>
            <w:shd w:val="clear" w:color="auto" w:fill="auto"/>
            <w:noWrap/>
            <w:vAlign w:val="center"/>
            <w:hideMark/>
          </w:tcPr>
          <w:p w14:paraId="71B17CC4" w14:textId="77777777" w:rsidR="006B17F5" w:rsidRPr="006B17F5" w:rsidRDefault="006B17F5" w:rsidP="006B17F5">
            <w:pPr>
              <w:rPr>
                <w:rFonts w:ascii="Morningstar 1" w:eastAsia="Times New Roman" w:hAnsi="Morningstar 1" w:cs="Calibri"/>
                <w:color w:val="000000"/>
                <w:sz w:val="22"/>
                <w:szCs w:val="22"/>
                <w:lang w:val="en-AU" w:eastAsia="en-AU"/>
              </w:rPr>
            </w:pPr>
            <w:r w:rsidRPr="006B17F5">
              <w:rPr>
                <w:rFonts w:ascii="Morningstar 1" w:eastAsia="Times New Roman" w:hAnsi="Morningstar 1" w:cs="Calibri"/>
                <w:color w:val="000000"/>
                <w:sz w:val="22"/>
                <w:szCs w:val="22"/>
                <w:lang w:eastAsia="en-AU"/>
              </w:rPr>
              <w:t>Capital Group New Perspective (AU)</w:t>
            </w:r>
          </w:p>
        </w:tc>
        <w:tc>
          <w:tcPr>
            <w:tcW w:w="1861" w:type="dxa"/>
            <w:tcBorders>
              <w:top w:val="nil"/>
              <w:left w:val="nil"/>
              <w:bottom w:val="single" w:sz="8" w:space="0" w:color="auto"/>
              <w:right w:val="nil"/>
            </w:tcBorders>
            <w:shd w:val="clear" w:color="auto" w:fill="auto"/>
            <w:vAlign w:val="center"/>
            <w:hideMark/>
          </w:tcPr>
          <w:p w14:paraId="410C5680" w14:textId="77777777" w:rsidR="006B17F5" w:rsidRPr="006B17F5" w:rsidRDefault="006B17F5" w:rsidP="006B17F5">
            <w:pPr>
              <w:jc w:val="center"/>
              <w:rPr>
                <w:rFonts w:ascii="Morningstar 1" w:eastAsia="Times New Roman" w:hAnsi="Morningstar 1" w:cs="Calibri"/>
                <w:b/>
                <w:bCs/>
                <w:color w:val="FF0000"/>
                <w:sz w:val="22"/>
                <w:szCs w:val="22"/>
                <w:lang w:val="en-AU" w:eastAsia="en-AU"/>
              </w:rPr>
            </w:pPr>
            <w:r w:rsidRPr="006B17F5">
              <w:rPr>
                <w:rFonts w:ascii="Morningstar 1" w:eastAsia="Times New Roman" w:hAnsi="Morningstar 1" w:cs="Calibri"/>
                <w:b/>
                <w:bCs/>
                <w:color w:val="FF0000"/>
                <w:sz w:val="22"/>
                <w:szCs w:val="22"/>
                <w:lang w:eastAsia="en-AU"/>
              </w:rPr>
              <w:t>Decrease</w:t>
            </w:r>
          </w:p>
        </w:tc>
        <w:tc>
          <w:tcPr>
            <w:tcW w:w="296" w:type="dxa"/>
            <w:vAlign w:val="center"/>
            <w:hideMark/>
          </w:tcPr>
          <w:p w14:paraId="115F4A8A" w14:textId="77777777" w:rsidR="006B17F5" w:rsidRPr="006B17F5" w:rsidRDefault="006B17F5" w:rsidP="006B17F5">
            <w:pPr>
              <w:rPr>
                <w:rFonts w:eastAsia="Times New Roman"/>
                <w:sz w:val="20"/>
                <w:szCs w:val="20"/>
                <w:lang w:val="en-AU" w:eastAsia="en-AU"/>
              </w:rPr>
            </w:pPr>
          </w:p>
        </w:tc>
      </w:tr>
      <w:tr w:rsidR="006B17F5" w:rsidRPr="006B17F5" w14:paraId="26B89A4F" w14:textId="77777777" w:rsidTr="006B17F5">
        <w:trPr>
          <w:trHeight w:val="304"/>
          <w:jc w:val="center"/>
        </w:trPr>
        <w:tc>
          <w:tcPr>
            <w:tcW w:w="4580" w:type="dxa"/>
            <w:tcBorders>
              <w:top w:val="nil"/>
              <w:left w:val="nil"/>
              <w:bottom w:val="single" w:sz="8" w:space="0" w:color="auto"/>
              <w:right w:val="nil"/>
            </w:tcBorders>
            <w:shd w:val="clear" w:color="auto" w:fill="auto"/>
            <w:noWrap/>
            <w:vAlign w:val="center"/>
            <w:hideMark/>
          </w:tcPr>
          <w:p w14:paraId="1DE12C10" w14:textId="77777777" w:rsidR="006B17F5" w:rsidRPr="006B17F5" w:rsidRDefault="006B17F5" w:rsidP="006B17F5">
            <w:pPr>
              <w:rPr>
                <w:rFonts w:ascii="Morningstar 1" w:eastAsia="Times New Roman" w:hAnsi="Morningstar 1" w:cs="Calibri"/>
                <w:color w:val="000000"/>
                <w:sz w:val="22"/>
                <w:szCs w:val="22"/>
                <w:lang w:val="en-AU" w:eastAsia="en-AU"/>
              </w:rPr>
            </w:pPr>
            <w:r w:rsidRPr="006B17F5">
              <w:rPr>
                <w:rFonts w:ascii="Morningstar 1" w:eastAsia="Times New Roman" w:hAnsi="Morningstar 1" w:cs="Calibri"/>
                <w:color w:val="000000"/>
                <w:sz w:val="22"/>
                <w:szCs w:val="22"/>
                <w:lang w:eastAsia="en-AU"/>
              </w:rPr>
              <w:t>Barrow Hanley Global Share S</w:t>
            </w:r>
          </w:p>
        </w:tc>
        <w:tc>
          <w:tcPr>
            <w:tcW w:w="1861" w:type="dxa"/>
            <w:tcBorders>
              <w:top w:val="nil"/>
              <w:left w:val="nil"/>
              <w:bottom w:val="single" w:sz="8" w:space="0" w:color="auto"/>
              <w:right w:val="nil"/>
            </w:tcBorders>
            <w:shd w:val="clear" w:color="auto" w:fill="auto"/>
            <w:vAlign w:val="center"/>
            <w:hideMark/>
          </w:tcPr>
          <w:p w14:paraId="62641EA7" w14:textId="77777777" w:rsidR="006B17F5" w:rsidRPr="006B17F5" w:rsidRDefault="006B17F5" w:rsidP="006B17F5">
            <w:pPr>
              <w:jc w:val="center"/>
              <w:rPr>
                <w:rFonts w:ascii="Morningstar 1" w:eastAsia="Times New Roman" w:hAnsi="Morningstar 1" w:cs="Calibri"/>
                <w:b/>
                <w:bCs/>
                <w:color w:val="00B050"/>
                <w:sz w:val="22"/>
                <w:szCs w:val="22"/>
                <w:lang w:val="en-AU" w:eastAsia="en-AU"/>
              </w:rPr>
            </w:pPr>
            <w:r w:rsidRPr="006B17F5">
              <w:rPr>
                <w:rFonts w:ascii="Morningstar 1" w:eastAsia="Times New Roman" w:hAnsi="Morningstar 1" w:cs="Calibri"/>
                <w:b/>
                <w:bCs/>
                <w:color w:val="00B050"/>
                <w:sz w:val="22"/>
                <w:szCs w:val="22"/>
                <w:lang w:eastAsia="en-AU"/>
              </w:rPr>
              <w:t>Increase</w:t>
            </w:r>
          </w:p>
        </w:tc>
        <w:tc>
          <w:tcPr>
            <w:tcW w:w="296" w:type="dxa"/>
            <w:vAlign w:val="center"/>
            <w:hideMark/>
          </w:tcPr>
          <w:p w14:paraId="35F8D964" w14:textId="77777777" w:rsidR="006B17F5" w:rsidRPr="006B17F5" w:rsidRDefault="006B17F5" w:rsidP="006B17F5">
            <w:pPr>
              <w:rPr>
                <w:rFonts w:eastAsia="Times New Roman"/>
                <w:sz w:val="20"/>
                <w:szCs w:val="20"/>
                <w:lang w:val="en-AU" w:eastAsia="en-AU"/>
              </w:rPr>
            </w:pPr>
          </w:p>
        </w:tc>
      </w:tr>
      <w:tr w:rsidR="006B17F5" w:rsidRPr="006B17F5" w14:paraId="39790FC8" w14:textId="77777777" w:rsidTr="006B17F5">
        <w:trPr>
          <w:trHeight w:val="304"/>
          <w:jc w:val="center"/>
        </w:trPr>
        <w:tc>
          <w:tcPr>
            <w:tcW w:w="4580" w:type="dxa"/>
            <w:tcBorders>
              <w:top w:val="nil"/>
              <w:left w:val="nil"/>
              <w:bottom w:val="single" w:sz="8" w:space="0" w:color="auto"/>
              <w:right w:val="nil"/>
            </w:tcBorders>
            <w:shd w:val="clear" w:color="auto" w:fill="auto"/>
            <w:noWrap/>
            <w:vAlign w:val="center"/>
            <w:hideMark/>
          </w:tcPr>
          <w:p w14:paraId="13049F65" w14:textId="77777777" w:rsidR="006B17F5" w:rsidRPr="006B17F5" w:rsidRDefault="006B17F5" w:rsidP="006B17F5">
            <w:pPr>
              <w:rPr>
                <w:rFonts w:ascii="Morningstar 1" w:eastAsia="Times New Roman" w:hAnsi="Morningstar 1" w:cs="Calibri"/>
                <w:color w:val="000000"/>
                <w:sz w:val="22"/>
                <w:szCs w:val="22"/>
                <w:lang w:val="en-AU" w:eastAsia="en-AU"/>
              </w:rPr>
            </w:pPr>
            <w:r w:rsidRPr="006B17F5">
              <w:rPr>
                <w:rFonts w:ascii="Morningstar 1" w:eastAsia="Times New Roman" w:hAnsi="Morningstar 1" w:cs="Calibri"/>
                <w:color w:val="000000"/>
                <w:sz w:val="22"/>
                <w:szCs w:val="22"/>
                <w:lang w:eastAsia="en-AU"/>
              </w:rPr>
              <w:t>Vanguard FTSE Emerging Markets Shrs ETF</w:t>
            </w:r>
          </w:p>
        </w:tc>
        <w:tc>
          <w:tcPr>
            <w:tcW w:w="1861" w:type="dxa"/>
            <w:tcBorders>
              <w:top w:val="nil"/>
              <w:left w:val="nil"/>
              <w:bottom w:val="single" w:sz="8" w:space="0" w:color="auto"/>
              <w:right w:val="nil"/>
            </w:tcBorders>
            <w:shd w:val="clear" w:color="auto" w:fill="auto"/>
            <w:vAlign w:val="center"/>
            <w:hideMark/>
          </w:tcPr>
          <w:p w14:paraId="33639F3D" w14:textId="77777777" w:rsidR="006B17F5" w:rsidRPr="006B17F5" w:rsidRDefault="006B17F5" w:rsidP="006B17F5">
            <w:pPr>
              <w:jc w:val="center"/>
              <w:rPr>
                <w:rFonts w:ascii="Morningstar 1" w:eastAsia="Times New Roman" w:hAnsi="Morningstar 1" w:cs="Calibri"/>
                <w:b/>
                <w:bCs/>
                <w:color w:val="00B050"/>
                <w:sz w:val="22"/>
                <w:szCs w:val="22"/>
                <w:lang w:val="en-AU" w:eastAsia="en-AU"/>
              </w:rPr>
            </w:pPr>
            <w:r w:rsidRPr="006B17F5">
              <w:rPr>
                <w:rFonts w:ascii="Morningstar 1" w:eastAsia="Times New Roman" w:hAnsi="Morningstar 1" w:cs="Calibri"/>
                <w:b/>
                <w:bCs/>
                <w:color w:val="00B050"/>
                <w:sz w:val="22"/>
                <w:szCs w:val="22"/>
                <w:lang w:eastAsia="en-AU"/>
              </w:rPr>
              <w:t>Increase</w:t>
            </w:r>
          </w:p>
        </w:tc>
        <w:tc>
          <w:tcPr>
            <w:tcW w:w="296" w:type="dxa"/>
            <w:vAlign w:val="center"/>
            <w:hideMark/>
          </w:tcPr>
          <w:p w14:paraId="0FE0ADD2" w14:textId="77777777" w:rsidR="006B17F5" w:rsidRPr="006B17F5" w:rsidRDefault="006B17F5" w:rsidP="006B17F5">
            <w:pPr>
              <w:rPr>
                <w:rFonts w:eastAsia="Times New Roman"/>
                <w:sz w:val="20"/>
                <w:szCs w:val="20"/>
                <w:lang w:val="en-AU" w:eastAsia="en-AU"/>
              </w:rPr>
            </w:pPr>
          </w:p>
        </w:tc>
      </w:tr>
      <w:tr w:rsidR="006B17F5" w:rsidRPr="006B17F5" w14:paraId="65E7B9F5" w14:textId="77777777" w:rsidTr="006B17F5">
        <w:trPr>
          <w:trHeight w:val="304"/>
          <w:jc w:val="center"/>
        </w:trPr>
        <w:tc>
          <w:tcPr>
            <w:tcW w:w="4580" w:type="dxa"/>
            <w:tcBorders>
              <w:top w:val="nil"/>
              <w:left w:val="nil"/>
              <w:bottom w:val="single" w:sz="8" w:space="0" w:color="auto"/>
              <w:right w:val="nil"/>
            </w:tcBorders>
            <w:shd w:val="clear" w:color="000000" w:fill="F2F2F2"/>
            <w:vAlign w:val="center"/>
            <w:hideMark/>
          </w:tcPr>
          <w:p w14:paraId="745F31DC" w14:textId="77777777" w:rsidR="006B17F5" w:rsidRPr="006B17F5" w:rsidRDefault="006B17F5" w:rsidP="006B17F5">
            <w:pPr>
              <w:rPr>
                <w:rFonts w:ascii="Morningstar 1" w:eastAsia="Times New Roman" w:hAnsi="Morningstar 1" w:cs="Calibri"/>
                <w:b/>
                <w:bCs/>
                <w:color w:val="000000"/>
                <w:sz w:val="22"/>
                <w:szCs w:val="22"/>
                <w:lang w:val="en-AU" w:eastAsia="en-AU"/>
              </w:rPr>
            </w:pPr>
            <w:r w:rsidRPr="006B17F5">
              <w:rPr>
                <w:rFonts w:ascii="Morningstar 1" w:eastAsia="Times New Roman" w:hAnsi="Morningstar 1" w:cs="Calibri"/>
                <w:b/>
                <w:bCs/>
                <w:color w:val="000000"/>
                <w:sz w:val="22"/>
                <w:szCs w:val="22"/>
                <w:lang w:eastAsia="en-AU"/>
              </w:rPr>
              <w:t>Property and Infrastructure</w:t>
            </w:r>
          </w:p>
        </w:tc>
        <w:tc>
          <w:tcPr>
            <w:tcW w:w="1861" w:type="dxa"/>
            <w:tcBorders>
              <w:top w:val="nil"/>
              <w:left w:val="nil"/>
              <w:bottom w:val="single" w:sz="8" w:space="0" w:color="auto"/>
              <w:right w:val="nil"/>
            </w:tcBorders>
            <w:shd w:val="clear" w:color="000000" w:fill="F2F2F2"/>
            <w:vAlign w:val="center"/>
            <w:hideMark/>
          </w:tcPr>
          <w:p w14:paraId="0308CCB2" w14:textId="77777777" w:rsidR="006B17F5" w:rsidRPr="006B17F5" w:rsidRDefault="006B17F5" w:rsidP="006B17F5">
            <w:pPr>
              <w:rPr>
                <w:rFonts w:ascii="Morningstar 1" w:eastAsia="Times New Roman" w:hAnsi="Morningstar 1" w:cs="Calibri"/>
                <w:b/>
                <w:bCs/>
                <w:color w:val="000000"/>
                <w:sz w:val="22"/>
                <w:szCs w:val="22"/>
                <w:lang w:val="en-AU" w:eastAsia="en-AU"/>
              </w:rPr>
            </w:pPr>
            <w:r w:rsidRPr="006B17F5">
              <w:rPr>
                <w:rFonts w:ascii="Morningstar 1" w:eastAsia="Times New Roman" w:hAnsi="Morningstar 1" w:cs="Calibri"/>
                <w:b/>
                <w:bCs/>
                <w:color w:val="000000"/>
                <w:sz w:val="22"/>
                <w:szCs w:val="22"/>
                <w:lang w:eastAsia="en-AU"/>
              </w:rPr>
              <w:t> </w:t>
            </w:r>
          </w:p>
        </w:tc>
        <w:tc>
          <w:tcPr>
            <w:tcW w:w="296" w:type="dxa"/>
            <w:vAlign w:val="center"/>
            <w:hideMark/>
          </w:tcPr>
          <w:p w14:paraId="03A1813D" w14:textId="77777777" w:rsidR="006B17F5" w:rsidRPr="006B17F5" w:rsidRDefault="006B17F5" w:rsidP="006B17F5">
            <w:pPr>
              <w:rPr>
                <w:rFonts w:eastAsia="Times New Roman"/>
                <w:sz w:val="20"/>
                <w:szCs w:val="20"/>
                <w:lang w:val="en-AU" w:eastAsia="en-AU"/>
              </w:rPr>
            </w:pPr>
          </w:p>
        </w:tc>
      </w:tr>
      <w:tr w:rsidR="006B17F5" w:rsidRPr="006B17F5" w14:paraId="0B6854A4" w14:textId="77777777" w:rsidTr="006B17F5">
        <w:trPr>
          <w:trHeight w:val="304"/>
          <w:jc w:val="center"/>
        </w:trPr>
        <w:tc>
          <w:tcPr>
            <w:tcW w:w="4580" w:type="dxa"/>
            <w:tcBorders>
              <w:top w:val="nil"/>
              <w:left w:val="nil"/>
              <w:bottom w:val="single" w:sz="8" w:space="0" w:color="auto"/>
              <w:right w:val="nil"/>
            </w:tcBorders>
            <w:shd w:val="clear" w:color="auto" w:fill="auto"/>
            <w:noWrap/>
            <w:vAlign w:val="center"/>
            <w:hideMark/>
          </w:tcPr>
          <w:p w14:paraId="05D5D0B4" w14:textId="77777777" w:rsidR="006B17F5" w:rsidRPr="006B17F5" w:rsidRDefault="006B17F5" w:rsidP="006B17F5">
            <w:pPr>
              <w:rPr>
                <w:rFonts w:ascii="Morningstar 1" w:eastAsia="Times New Roman" w:hAnsi="Morningstar 1" w:cs="Calibri"/>
                <w:color w:val="000000"/>
                <w:sz w:val="22"/>
                <w:szCs w:val="22"/>
                <w:lang w:val="en-AU" w:eastAsia="en-AU"/>
              </w:rPr>
            </w:pPr>
            <w:r w:rsidRPr="006B17F5">
              <w:rPr>
                <w:rFonts w:ascii="Morningstar 1" w:eastAsia="Times New Roman" w:hAnsi="Morningstar 1" w:cs="Calibri"/>
                <w:color w:val="000000"/>
                <w:sz w:val="22"/>
                <w:szCs w:val="22"/>
                <w:lang w:eastAsia="en-AU"/>
              </w:rPr>
              <w:t>MFG Core Infrastructure</w:t>
            </w:r>
          </w:p>
        </w:tc>
        <w:tc>
          <w:tcPr>
            <w:tcW w:w="1861" w:type="dxa"/>
            <w:tcBorders>
              <w:top w:val="nil"/>
              <w:left w:val="nil"/>
              <w:bottom w:val="single" w:sz="8" w:space="0" w:color="auto"/>
              <w:right w:val="nil"/>
            </w:tcBorders>
            <w:shd w:val="clear" w:color="auto" w:fill="auto"/>
            <w:vAlign w:val="center"/>
            <w:hideMark/>
          </w:tcPr>
          <w:p w14:paraId="76B43260" w14:textId="77777777" w:rsidR="006B17F5" w:rsidRPr="006B17F5" w:rsidRDefault="006B17F5" w:rsidP="006B17F5">
            <w:pPr>
              <w:jc w:val="center"/>
              <w:rPr>
                <w:rFonts w:ascii="Morningstar 1" w:eastAsia="Times New Roman" w:hAnsi="Morningstar 1" w:cs="Calibri"/>
                <w:b/>
                <w:bCs/>
                <w:color w:val="FF0000"/>
                <w:sz w:val="22"/>
                <w:szCs w:val="22"/>
                <w:lang w:val="en-AU" w:eastAsia="en-AU"/>
              </w:rPr>
            </w:pPr>
            <w:r w:rsidRPr="006B17F5">
              <w:rPr>
                <w:rFonts w:ascii="Morningstar 1" w:eastAsia="Times New Roman" w:hAnsi="Morningstar 1" w:cs="Calibri"/>
                <w:b/>
                <w:bCs/>
                <w:color w:val="FF0000"/>
                <w:sz w:val="22"/>
                <w:szCs w:val="22"/>
                <w:lang w:eastAsia="en-AU"/>
              </w:rPr>
              <w:t>Decrease</w:t>
            </w:r>
          </w:p>
        </w:tc>
        <w:tc>
          <w:tcPr>
            <w:tcW w:w="296" w:type="dxa"/>
            <w:vAlign w:val="center"/>
            <w:hideMark/>
          </w:tcPr>
          <w:p w14:paraId="79FD746C" w14:textId="77777777" w:rsidR="006B17F5" w:rsidRPr="006B17F5" w:rsidRDefault="006B17F5" w:rsidP="006B17F5">
            <w:pPr>
              <w:rPr>
                <w:rFonts w:eastAsia="Times New Roman"/>
                <w:sz w:val="20"/>
                <w:szCs w:val="20"/>
                <w:lang w:val="en-AU" w:eastAsia="en-AU"/>
              </w:rPr>
            </w:pPr>
          </w:p>
        </w:tc>
      </w:tr>
      <w:tr w:rsidR="006B17F5" w:rsidRPr="006B17F5" w14:paraId="7D6C433D" w14:textId="77777777" w:rsidTr="006B17F5">
        <w:trPr>
          <w:trHeight w:val="304"/>
          <w:jc w:val="center"/>
        </w:trPr>
        <w:tc>
          <w:tcPr>
            <w:tcW w:w="4580" w:type="dxa"/>
            <w:tcBorders>
              <w:top w:val="nil"/>
              <w:left w:val="nil"/>
              <w:bottom w:val="single" w:sz="8" w:space="0" w:color="auto"/>
              <w:right w:val="nil"/>
            </w:tcBorders>
            <w:shd w:val="clear" w:color="auto" w:fill="auto"/>
            <w:noWrap/>
            <w:vAlign w:val="center"/>
            <w:hideMark/>
          </w:tcPr>
          <w:p w14:paraId="3C83BF5E" w14:textId="77777777" w:rsidR="006B17F5" w:rsidRPr="006B17F5" w:rsidRDefault="006B17F5" w:rsidP="006B17F5">
            <w:pPr>
              <w:rPr>
                <w:rFonts w:ascii="Morningstar 1" w:eastAsia="Times New Roman" w:hAnsi="Morningstar 1" w:cs="Calibri"/>
                <w:color w:val="000000"/>
                <w:sz w:val="22"/>
                <w:szCs w:val="22"/>
                <w:lang w:val="en-AU" w:eastAsia="en-AU"/>
              </w:rPr>
            </w:pPr>
            <w:r w:rsidRPr="006B17F5">
              <w:rPr>
                <w:rFonts w:ascii="Morningstar 1" w:eastAsia="Times New Roman" w:hAnsi="Morningstar 1" w:cs="Calibri"/>
                <w:color w:val="000000"/>
                <w:sz w:val="22"/>
                <w:szCs w:val="22"/>
                <w:lang w:eastAsia="en-AU"/>
              </w:rPr>
              <w:t>iShares Global Listed Property Idx Hdg S</w:t>
            </w:r>
          </w:p>
        </w:tc>
        <w:tc>
          <w:tcPr>
            <w:tcW w:w="1861" w:type="dxa"/>
            <w:tcBorders>
              <w:top w:val="nil"/>
              <w:left w:val="nil"/>
              <w:bottom w:val="single" w:sz="8" w:space="0" w:color="auto"/>
              <w:right w:val="nil"/>
            </w:tcBorders>
            <w:shd w:val="clear" w:color="auto" w:fill="auto"/>
            <w:vAlign w:val="center"/>
            <w:hideMark/>
          </w:tcPr>
          <w:p w14:paraId="25513DEF" w14:textId="77777777" w:rsidR="006B17F5" w:rsidRPr="006B17F5" w:rsidRDefault="006B17F5" w:rsidP="006B17F5">
            <w:pPr>
              <w:jc w:val="center"/>
              <w:rPr>
                <w:rFonts w:ascii="Morningstar 1" w:eastAsia="Times New Roman" w:hAnsi="Morningstar 1" w:cs="Calibri"/>
                <w:b/>
                <w:bCs/>
                <w:color w:val="FF0000"/>
                <w:sz w:val="22"/>
                <w:szCs w:val="22"/>
                <w:lang w:val="en-AU" w:eastAsia="en-AU"/>
              </w:rPr>
            </w:pPr>
            <w:r w:rsidRPr="006B17F5">
              <w:rPr>
                <w:rFonts w:ascii="Morningstar 1" w:eastAsia="Times New Roman" w:hAnsi="Morningstar 1" w:cs="Calibri"/>
                <w:b/>
                <w:bCs/>
                <w:color w:val="FF0000"/>
                <w:sz w:val="22"/>
                <w:szCs w:val="22"/>
                <w:lang w:eastAsia="en-AU"/>
              </w:rPr>
              <w:t>Decrease</w:t>
            </w:r>
          </w:p>
        </w:tc>
        <w:tc>
          <w:tcPr>
            <w:tcW w:w="296" w:type="dxa"/>
            <w:vAlign w:val="center"/>
            <w:hideMark/>
          </w:tcPr>
          <w:p w14:paraId="38C1C9EC" w14:textId="77777777" w:rsidR="006B17F5" w:rsidRPr="006B17F5" w:rsidRDefault="006B17F5" w:rsidP="006B17F5">
            <w:pPr>
              <w:rPr>
                <w:rFonts w:eastAsia="Times New Roman"/>
                <w:sz w:val="20"/>
                <w:szCs w:val="20"/>
                <w:lang w:val="en-AU" w:eastAsia="en-AU"/>
              </w:rPr>
            </w:pPr>
          </w:p>
        </w:tc>
      </w:tr>
      <w:tr w:rsidR="006B17F5" w:rsidRPr="006B17F5" w14:paraId="72223170" w14:textId="77777777" w:rsidTr="006B17F5">
        <w:trPr>
          <w:trHeight w:val="304"/>
          <w:jc w:val="center"/>
        </w:trPr>
        <w:tc>
          <w:tcPr>
            <w:tcW w:w="4580" w:type="dxa"/>
            <w:tcBorders>
              <w:top w:val="nil"/>
              <w:left w:val="nil"/>
              <w:bottom w:val="single" w:sz="8" w:space="0" w:color="auto"/>
              <w:right w:val="nil"/>
            </w:tcBorders>
            <w:shd w:val="clear" w:color="000000" w:fill="F2F2F2"/>
            <w:vAlign w:val="center"/>
            <w:hideMark/>
          </w:tcPr>
          <w:p w14:paraId="3D5C7991" w14:textId="77777777" w:rsidR="006B17F5" w:rsidRPr="006B17F5" w:rsidRDefault="006B17F5" w:rsidP="006B17F5">
            <w:pPr>
              <w:rPr>
                <w:rFonts w:ascii="Morningstar 1" w:eastAsia="Times New Roman" w:hAnsi="Morningstar 1" w:cs="Calibri"/>
                <w:b/>
                <w:bCs/>
                <w:color w:val="000000"/>
                <w:sz w:val="22"/>
                <w:szCs w:val="22"/>
                <w:lang w:val="en-AU" w:eastAsia="en-AU"/>
              </w:rPr>
            </w:pPr>
            <w:r w:rsidRPr="006B17F5">
              <w:rPr>
                <w:rFonts w:ascii="Morningstar 1" w:eastAsia="Times New Roman" w:hAnsi="Morningstar 1" w:cs="Calibri"/>
                <w:b/>
                <w:bCs/>
                <w:color w:val="000000"/>
                <w:sz w:val="22"/>
                <w:szCs w:val="22"/>
                <w:lang w:eastAsia="en-AU"/>
              </w:rPr>
              <w:t>Australian Fixed Interest</w:t>
            </w:r>
          </w:p>
        </w:tc>
        <w:tc>
          <w:tcPr>
            <w:tcW w:w="1861" w:type="dxa"/>
            <w:tcBorders>
              <w:top w:val="nil"/>
              <w:left w:val="nil"/>
              <w:bottom w:val="single" w:sz="8" w:space="0" w:color="auto"/>
              <w:right w:val="nil"/>
            </w:tcBorders>
            <w:shd w:val="clear" w:color="000000" w:fill="F2F2F2"/>
            <w:vAlign w:val="center"/>
            <w:hideMark/>
          </w:tcPr>
          <w:p w14:paraId="1FB073A3" w14:textId="77777777" w:rsidR="006B17F5" w:rsidRPr="006B17F5" w:rsidRDefault="006B17F5" w:rsidP="006B17F5">
            <w:pPr>
              <w:rPr>
                <w:rFonts w:ascii="Morningstar 1" w:eastAsia="Times New Roman" w:hAnsi="Morningstar 1" w:cs="Calibri"/>
                <w:b/>
                <w:bCs/>
                <w:color w:val="000000"/>
                <w:sz w:val="22"/>
                <w:szCs w:val="22"/>
                <w:lang w:val="en-AU" w:eastAsia="en-AU"/>
              </w:rPr>
            </w:pPr>
            <w:r w:rsidRPr="006B17F5">
              <w:rPr>
                <w:rFonts w:ascii="Morningstar 1" w:eastAsia="Times New Roman" w:hAnsi="Morningstar 1" w:cs="Calibri"/>
                <w:b/>
                <w:bCs/>
                <w:color w:val="000000"/>
                <w:sz w:val="22"/>
                <w:szCs w:val="22"/>
                <w:lang w:eastAsia="en-AU"/>
              </w:rPr>
              <w:t> </w:t>
            </w:r>
          </w:p>
        </w:tc>
        <w:tc>
          <w:tcPr>
            <w:tcW w:w="296" w:type="dxa"/>
            <w:vAlign w:val="center"/>
            <w:hideMark/>
          </w:tcPr>
          <w:p w14:paraId="4F510463" w14:textId="77777777" w:rsidR="006B17F5" w:rsidRPr="006B17F5" w:rsidRDefault="006B17F5" w:rsidP="006B17F5">
            <w:pPr>
              <w:rPr>
                <w:rFonts w:eastAsia="Times New Roman"/>
                <w:sz w:val="20"/>
                <w:szCs w:val="20"/>
                <w:lang w:val="en-AU" w:eastAsia="en-AU"/>
              </w:rPr>
            </w:pPr>
          </w:p>
        </w:tc>
      </w:tr>
      <w:tr w:rsidR="006B17F5" w:rsidRPr="006B17F5" w14:paraId="71B48908" w14:textId="77777777" w:rsidTr="006B17F5">
        <w:trPr>
          <w:trHeight w:val="304"/>
          <w:jc w:val="center"/>
        </w:trPr>
        <w:tc>
          <w:tcPr>
            <w:tcW w:w="4580" w:type="dxa"/>
            <w:tcBorders>
              <w:top w:val="nil"/>
              <w:left w:val="nil"/>
              <w:bottom w:val="single" w:sz="8" w:space="0" w:color="auto"/>
              <w:right w:val="nil"/>
            </w:tcBorders>
            <w:shd w:val="clear" w:color="auto" w:fill="auto"/>
            <w:noWrap/>
            <w:vAlign w:val="center"/>
            <w:hideMark/>
          </w:tcPr>
          <w:p w14:paraId="24CF8FF9" w14:textId="77777777" w:rsidR="006B17F5" w:rsidRPr="006B17F5" w:rsidRDefault="006B17F5" w:rsidP="006B17F5">
            <w:pPr>
              <w:rPr>
                <w:rFonts w:ascii="Morningstar 1" w:eastAsia="Times New Roman" w:hAnsi="Morningstar 1" w:cs="Calibri"/>
                <w:color w:val="000000"/>
                <w:sz w:val="22"/>
                <w:szCs w:val="22"/>
                <w:lang w:val="en-AU" w:eastAsia="en-AU"/>
              </w:rPr>
            </w:pPr>
            <w:r w:rsidRPr="006B17F5">
              <w:rPr>
                <w:rFonts w:ascii="Morningstar 1" w:eastAsia="Times New Roman" w:hAnsi="Morningstar 1" w:cs="Calibri"/>
                <w:color w:val="000000"/>
                <w:sz w:val="22"/>
                <w:szCs w:val="22"/>
                <w:lang w:eastAsia="en-AU"/>
              </w:rPr>
              <w:t>Vanguard Australian Fixed Interest ETF</w:t>
            </w:r>
          </w:p>
        </w:tc>
        <w:tc>
          <w:tcPr>
            <w:tcW w:w="1861" w:type="dxa"/>
            <w:tcBorders>
              <w:top w:val="nil"/>
              <w:left w:val="nil"/>
              <w:bottom w:val="single" w:sz="8" w:space="0" w:color="auto"/>
              <w:right w:val="nil"/>
            </w:tcBorders>
            <w:shd w:val="clear" w:color="auto" w:fill="auto"/>
            <w:vAlign w:val="center"/>
            <w:hideMark/>
          </w:tcPr>
          <w:p w14:paraId="49D307B7" w14:textId="77777777" w:rsidR="006B17F5" w:rsidRPr="006B17F5" w:rsidRDefault="006B17F5" w:rsidP="006B17F5">
            <w:pPr>
              <w:jc w:val="center"/>
              <w:rPr>
                <w:rFonts w:ascii="Morningstar 1" w:eastAsia="Times New Roman" w:hAnsi="Morningstar 1" w:cs="Calibri"/>
                <w:b/>
                <w:bCs/>
                <w:color w:val="FF0000"/>
                <w:sz w:val="22"/>
                <w:szCs w:val="22"/>
                <w:lang w:val="en-AU" w:eastAsia="en-AU"/>
              </w:rPr>
            </w:pPr>
            <w:r w:rsidRPr="006B17F5">
              <w:rPr>
                <w:rFonts w:ascii="Morningstar 1" w:eastAsia="Times New Roman" w:hAnsi="Morningstar 1" w:cs="Calibri"/>
                <w:b/>
                <w:bCs/>
                <w:color w:val="FF0000"/>
                <w:sz w:val="22"/>
                <w:szCs w:val="22"/>
                <w:lang w:eastAsia="en-AU"/>
              </w:rPr>
              <w:t>Decrease</w:t>
            </w:r>
          </w:p>
        </w:tc>
        <w:tc>
          <w:tcPr>
            <w:tcW w:w="296" w:type="dxa"/>
            <w:vAlign w:val="center"/>
            <w:hideMark/>
          </w:tcPr>
          <w:p w14:paraId="3FDBE387" w14:textId="77777777" w:rsidR="006B17F5" w:rsidRPr="006B17F5" w:rsidRDefault="006B17F5" w:rsidP="006B17F5">
            <w:pPr>
              <w:rPr>
                <w:rFonts w:eastAsia="Times New Roman"/>
                <w:sz w:val="20"/>
                <w:szCs w:val="20"/>
                <w:lang w:val="en-AU" w:eastAsia="en-AU"/>
              </w:rPr>
            </w:pPr>
          </w:p>
        </w:tc>
      </w:tr>
      <w:tr w:rsidR="006B17F5" w:rsidRPr="006B17F5" w14:paraId="3A62782F" w14:textId="77777777" w:rsidTr="006B17F5">
        <w:trPr>
          <w:trHeight w:val="304"/>
          <w:jc w:val="center"/>
        </w:trPr>
        <w:tc>
          <w:tcPr>
            <w:tcW w:w="4580" w:type="dxa"/>
            <w:tcBorders>
              <w:top w:val="nil"/>
              <w:left w:val="nil"/>
              <w:bottom w:val="single" w:sz="8" w:space="0" w:color="auto"/>
              <w:right w:val="nil"/>
            </w:tcBorders>
            <w:shd w:val="clear" w:color="000000" w:fill="F2F2F2"/>
            <w:vAlign w:val="center"/>
            <w:hideMark/>
          </w:tcPr>
          <w:p w14:paraId="35F9F3B0" w14:textId="77777777" w:rsidR="006B17F5" w:rsidRPr="006B17F5" w:rsidRDefault="006B17F5" w:rsidP="006B17F5">
            <w:pPr>
              <w:rPr>
                <w:rFonts w:ascii="Morningstar 1" w:eastAsia="Times New Roman" w:hAnsi="Morningstar 1" w:cs="Calibri"/>
                <w:b/>
                <w:bCs/>
                <w:color w:val="000000"/>
                <w:sz w:val="22"/>
                <w:szCs w:val="22"/>
                <w:lang w:val="en-AU" w:eastAsia="en-AU"/>
              </w:rPr>
            </w:pPr>
            <w:r w:rsidRPr="006B17F5">
              <w:rPr>
                <w:rFonts w:ascii="Morningstar 1" w:eastAsia="Times New Roman" w:hAnsi="Morningstar 1" w:cs="Calibri"/>
                <w:b/>
                <w:bCs/>
                <w:color w:val="000000"/>
                <w:sz w:val="22"/>
                <w:szCs w:val="22"/>
                <w:lang w:eastAsia="en-AU"/>
              </w:rPr>
              <w:t>International Fixed Interest</w:t>
            </w:r>
          </w:p>
        </w:tc>
        <w:tc>
          <w:tcPr>
            <w:tcW w:w="1861" w:type="dxa"/>
            <w:tcBorders>
              <w:top w:val="nil"/>
              <w:left w:val="nil"/>
              <w:bottom w:val="single" w:sz="8" w:space="0" w:color="auto"/>
              <w:right w:val="nil"/>
            </w:tcBorders>
            <w:shd w:val="clear" w:color="000000" w:fill="F2F2F2"/>
            <w:vAlign w:val="center"/>
            <w:hideMark/>
          </w:tcPr>
          <w:p w14:paraId="51068379" w14:textId="77777777" w:rsidR="006B17F5" w:rsidRPr="006B17F5" w:rsidRDefault="006B17F5" w:rsidP="006B17F5">
            <w:pPr>
              <w:rPr>
                <w:rFonts w:ascii="Morningstar 1" w:eastAsia="Times New Roman" w:hAnsi="Morningstar 1" w:cs="Calibri"/>
                <w:b/>
                <w:bCs/>
                <w:color w:val="000000"/>
                <w:sz w:val="22"/>
                <w:szCs w:val="22"/>
                <w:lang w:val="en-AU" w:eastAsia="en-AU"/>
              </w:rPr>
            </w:pPr>
            <w:r w:rsidRPr="006B17F5">
              <w:rPr>
                <w:rFonts w:ascii="Morningstar 1" w:eastAsia="Times New Roman" w:hAnsi="Morningstar 1" w:cs="Calibri"/>
                <w:b/>
                <w:bCs/>
                <w:color w:val="000000"/>
                <w:sz w:val="22"/>
                <w:szCs w:val="22"/>
                <w:lang w:eastAsia="en-AU"/>
              </w:rPr>
              <w:t> </w:t>
            </w:r>
          </w:p>
        </w:tc>
        <w:tc>
          <w:tcPr>
            <w:tcW w:w="296" w:type="dxa"/>
            <w:vAlign w:val="center"/>
            <w:hideMark/>
          </w:tcPr>
          <w:p w14:paraId="01EE9F50" w14:textId="77777777" w:rsidR="006B17F5" w:rsidRPr="006B17F5" w:rsidRDefault="006B17F5" w:rsidP="006B17F5">
            <w:pPr>
              <w:rPr>
                <w:rFonts w:eastAsia="Times New Roman"/>
                <w:sz w:val="20"/>
                <w:szCs w:val="20"/>
                <w:lang w:val="en-AU" w:eastAsia="en-AU"/>
              </w:rPr>
            </w:pPr>
          </w:p>
        </w:tc>
      </w:tr>
      <w:tr w:rsidR="006B17F5" w:rsidRPr="006B17F5" w14:paraId="66DC0D7D" w14:textId="77777777" w:rsidTr="006B17F5">
        <w:trPr>
          <w:trHeight w:val="304"/>
          <w:jc w:val="center"/>
        </w:trPr>
        <w:tc>
          <w:tcPr>
            <w:tcW w:w="4580" w:type="dxa"/>
            <w:tcBorders>
              <w:top w:val="nil"/>
              <w:left w:val="nil"/>
              <w:bottom w:val="single" w:sz="8" w:space="0" w:color="auto"/>
              <w:right w:val="nil"/>
            </w:tcBorders>
            <w:shd w:val="clear" w:color="auto" w:fill="auto"/>
            <w:noWrap/>
            <w:vAlign w:val="center"/>
            <w:hideMark/>
          </w:tcPr>
          <w:p w14:paraId="6EA97EC9" w14:textId="77777777" w:rsidR="006B17F5" w:rsidRPr="006B17F5" w:rsidRDefault="006B17F5" w:rsidP="006B17F5">
            <w:pPr>
              <w:rPr>
                <w:rFonts w:ascii="Morningstar 1" w:eastAsia="Times New Roman" w:hAnsi="Morningstar 1" w:cs="Calibri"/>
                <w:color w:val="000000"/>
                <w:sz w:val="22"/>
                <w:szCs w:val="22"/>
                <w:lang w:val="en-AU" w:eastAsia="en-AU"/>
              </w:rPr>
            </w:pPr>
            <w:r w:rsidRPr="006B17F5">
              <w:rPr>
                <w:rFonts w:ascii="Morningstar 1" w:eastAsia="Times New Roman" w:hAnsi="Morningstar 1" w:cs="Calibri"/>
                <w:color w:val="000000"/>
                <w:sz w:val="22"/>
                <w:szCs w:val="22"/>
                <w:lang w:eastAsia="en-AU"/>
              </w:rPr>
              <w:t>iShares Global Bond Index</w:t>
            </w:r>
          </w:p>
        </w:tc>
        <w:tc>
          <w:tcPr>
            <w:tcW w:w="1861" w:type="dxa"/>
            <w:tcBorders>
              <w:top w:val="nil"/>
              <w:left w:val="nil"/>
              <w:bottom w:val="single" w:sz="8" w:space="0" w:color="auto"/>
              <w:right w:val="nil"/>
            </w:tcBorders>
            <w:shd w:val="clear" w:color="auto" w:fill="auto"/>
            <w:vAlign w:val="center"/>
            <w:hideMark/>
          </w:tcPr>
          <w:p w14:paraId="7771E272" w14:textId="77777777" w:rsidR="006B17F5" w:rsidRPr="006B17F5" w:rsidRDefault="006B17F5" w:rsidP="006B17F5">
            <w:pPr>
              <w:jc w:val="center"/>
              <w:rPr>
                <w:rFonts w:ascii="Morningstar 1" w:eastAsia="Times New Roman" w:hAnsi="Morningstar 1" w:cs="Calibri"/>
                <w:b/>
                <w:bCs/>
                <w:color w:val="00B050"/>
                <w:sz w:val="22"/>
                <w:szCs w:val="22"/>
                <w:lang w:val="en-AU" w:eastAsia="en-AU"/>
              </w:rPr>
            </w:pPr>
            <w:r w:rsidRPr="006B17F5">
              <w:rPr>
                <w:rFonts w:ascii="Morningstar 1" w:eastAsia="Times New Roman" w:hAnsi="Morningstar 1" w:cs="Calibri"/>
                <w:b/>
                <w:bCs/>
                <w:color w:val="00B050"/>
                <w:sz w:val="22"/>
                <w:szCs w:val="22"/>
                <w:lang w:eastAsia="en-AU"/>
              </w:rPr>
              <w:t>Increase</w:t>
            </w:r>
          </w:p>
        </w:tc>
        <w:tc>
          <w:tcPr>
            <w:tcW w:w="296" w:type="dxa"/>
            <w:vAlign w:val="center"/>
            <w:hideMark/>
          </w:tcPr>
          <w:p w14:paraId="67093250" w14:textId="77777777" w:rsidR="006B17F5" w:rsidRPr="006B17F5" w:rsidRDefault="006B17F5" w:rsidP="006B17F5">
            <w:pPr>
              <w:rPr>
                <w:rFonts w:eastAsia="Times New Roman"/>
                <w:sz w:val="20"/>
                <w:szCs w:val="20"/>
                <w:lang w:val="en-AU" w:eastAsia="en-AU"/>
              </w:rPr>
            </w:pPr>
          </w:p>
        </w:tc>
      </w:tr>
      <w:tr w:rsidR="006B17F5" w:rsidRPr="006B17F5" w14:paraId="303B5248" w14:textId="77777777" w:rsidTr="006B17F5">
        <w:trPr>
          <w:trHeight w:val="304"/>
          <w:jc w:val="center"/>
        </w:trPr>
        <w:tc>
          <w:tcPr>
            <w:tcW w:w="4580" w:type="dxa"/>
            <w:tcBorders>
              <w:top w:val="nil"/>
              <w:left w:val="nil"/>
              <w:bottom w:val="single" w:sz="8" w:space="0" w:color="000000"/>
              <w:right w:val="nil"/>
            </w:tcBorders>
            <w:shd w:val="clear" w:color="auto" w:fill="auto"/>
            <w:noWrap/>
            <w:vAlign w:val="center"/>
            <w:hideMark/>
          </w:tcPr>
          <w:p w14:paraId="22FE59DD" w14:textId="77777777" w:rsidR="006B17F5" w:rsidRPr="006B17F5" w:rsidRDefault="006B17F5" w:rsidP="006B17F5">
            <w:pPr>
              <w:rPr>
                <w:rFonts w:ascii="Morningstar 1" w:eastAsia="Times New Roman" w:hAnsi="Morningstar 1" w:cs="Calibri"/>
                <w:color w:val="000000"/>
                <w:sz w:val="22"/>
                <w:szCs w:val="22"/>
                <w:lang w:val="en-AU" w:eastAsia="en-AU"/>
              </w:rPr>
            </w:pPr>
            <w:r w:rsidRPr="006B17F5">
              <w:rPr>
                <w:rFonts w:ascii="Morningstar 1" w:eastAsia="Times New Roman" w:hAnsi="Morningstar 1" w:cs="Calibri"/>
                <w:color w:val="000000"/>
                <w:sz w:val="22"/>
                <w:szCs w:val="22"/>
                <w:lang w:eastAsia="en-AU"/>
              </w:rPr>
              <w:t>Bentham Global Income</w:t>
            </w:r>
          </w:p>
        </w:tc>
        <w:tc>
          <w:tcPr>
            <w:tcW w:w="1861" w:type="dxa"/>
            <w:tcBorders>
              <w:top w:val="nil"/>
              <w:left w:val="nil"/>
              <w:bottom w:val="single" w:sz="8" w:space="0" w:color="000000"/>
              <w:right w:val="nil"/>
            </w:tcBorders>
            <w:shd w:val="clear" w:color="auto" w:fill="auto"/>
            <w:vAlign w:val="center"/>
            <w:hideMark/>
          </w:tcPr>
          <w:p w14:paraId="12CA4AE1" w14:textId="77777777" w:rsidR="006B17F5" w:rsidRPr="006B17F5" w:rsidRDefault="006B17F5" w:rsidP="006B17F5">
            <w:pPr>
              <w:jc w:val="center"/>
              <w:rPr>
                <w:rFonts w:ascii="Morningstar 1" w:eastAsia="Times New Roman" w:hAnsi="Morningstar 1" w:cs="Calibri"/>
                <w:b/>
                <w:bCs/>
                <w:color w:val="00B050"/>
                <w:sz w:val="22"/>
                <w:szCs w:val="22"/>
                <w:lang w:val="en-AU" w:eastAsia="en-AU"/>
              </w:rPr>
            </w:pPr>
            <w:r w:rsidRPr="006B17F5">
              <w:rPr>
                <w:rFonts w:ascii="Morningstar 1" w:eastAsia="Times New Roman" w:hAnsi="Morningstar 1" w:cs="Calibri"/>
                <w:b/>
                <w:bCs/>
                <w:color w:val="00B050"/>
                <w:sz w:val="22"/>
                <w:szCs w:val="22"/>
                <w:lang w:eastAsia="en-AU"/>
              </w:rPr>
              <w:t>Increase</w:t>
            </w:r>
          </w:p>
        </w:tc>
        <w:tc>
          <w:tcPr>
            <w:tcW w:w="296" w:type="dxa"/>
            <w:vAlign w:val="center"/>
            <w:hideMark/>
          </w:tcPr>
          <w:p w14:paraId="75A75A2C" w14:textId="77777777" w:rsidR="006B17F5" w:rsidRPr="006B17F5" w:rsidRDefault="006B17F5" w:rsidP="006B17F5">
            <w:pPr>
              <w:rPr>
                <w:rFonts w:eastAsia="Times New Roman"/>
                <w:sz w:val="20"/>
                <w:szCs w:val="20"/>
                <w:lang w:val="en-AU" w:eastAsia="en-AU"/>
              </w:rPr>
            </w:pPr>
          </w:p>
        </w:tc>
      </w:tr>
      <w:tr w:rsidR="006B17F5" w:rsidRPr="006B17F5" w14:paraId="08C21BAF" w14:textId="77777777" w:rsidTr="006B17F5">
        <w:trPr>
          <w:trHeight w:val="304"/>
          <w:jc w:val="center"/>
        </w:trPr>
        <w:tc>
          <w:tcPr>
            <w:tcW w:w="4580" w:type="dxa"/>
            <w:tcBorders>
              <w:top w:val="nil"/>
              <w:left w:val="nil"/>
              <w:bottom w:val="single" w:sz="8" w:space="0" w:color="000000"/>
              <w:right w:val="nil"/>
            </w:tcBorders>
            <w:shd w:val="clear" w:color="000000" w:fill="F2F2F2"/>
            <w:noWrap/>
            <w:vAlign w:val="center"/>
            <w:hideMark/>
          </w:tcPr>
          <w:p w14:paraId="6ED05737" w14:textId="77777777" w:rsidR="006B17F5" w:rsidRPr="006B17F5" w:rsidRDefault="006B17F5" w:rsidP="006B17F5">
            <w:pPr>
              <w:rPr>
                <w:rFonts w:ascii="Morningstar 1" w:eastAsia="Times New Roman" w:hAnsi="Morningstar 1" w:cs="Calibri"/>
                <w:b/>
                <w:bCs/>
                <w:color w:val="000000"/>
                <w:sz w:val="22"/>
                <w:szCs w:val="22"/>
                <w:lang w:val="en-AU" w:eastAsia="en-AU"/>
              </w:rPr>
            </w:pPr>
            <w:r w:rsidRPr="006B17F5">
              <w:rPr>
                <w:rFonts w:ascii="Morningstar 1" w:eastAsia="Times New Roman" w:hAnsi="Morningstar 1" w:cs="Calibri"/>
                <w:b/>
                <w:bCs/>
                <w:color w:val="000000"/>
                <w:sz w:val="22"/>
                <w:szCs w:val="22"/>
                <w:lang w:eastAsia="en-AU"/>
              </w:rPr>
              <w:t>Cash</w:t>
            </w:r>
          </w:p>
        </w:tc>
        <w:tc>
          <w:tcPr>
            <w:tcW w:w="1861" w:type="dxa"/>
            <w:tcBorders>
              <w:top w:val="nil"/>
              <w:left w:val="nil"/>
              <w:bottom w:val="single" w:sz="8" w:space="0" w:color="000000"/>
              <w:right w:val="nil"/>
            </w:tcBorders>
            <w:shd w:val="clear" w:color="000000" w:fill="F2F2F2"/>
            <w:vAlign w:val="center"/>
            <w:hideMark/>
          </w:tcPr>
          <w:p w14:paraId="49AEC8A0" w14:textId="77777777" w:rsidR="006B17F5" w:rsidRPr="006B17F5" w:rsidRDefault="006B17F5" w:rsidP="006B17F5">
            <w:pPr>
              <w:jc w:val="center"/>
              <w:rPr>
                <w:rFonts w:ascii="Morningstar 1" w:eastAsia="Times New Roman" w:hAnsi="Morningstar 1" w:cs="Calibri"/>
                <w:b/>
                <w:bCs/>
                <w:color w:val="000000"/>
                <w:sz w:val="22"/>
                <w:szCs w:val="22"/>
                <w:lang w:val="en-AU" w:eastAsia="en-AU"/>
              </w:rPr>
            </w:pPr>
            <w:r w:rsidRPr="006B17F5">
              <w:rPr>
                <w:rFonts w:ascii="Morningstar 1" w:eastAsia="Times New Roman" w:hAnsi="Morningstar 1" w:cs="Calibri"/>
                <w:b/>
                <w:bCs/>
                <w:color w:val="000000"/>
                <w:sz w:val="22"/>
                <w:szCs w:val="22"/>
                <w:lang w:eastAsia="en-AU"/>
              </w:rPr>
              <w:t> </w:t>
            </w:r>
          </w:p>
        </w:tc>
        <w:tc>
          <w:tcPr>
            <w:tcW w:w="296" w:type="dxa"/>
            <w:vAlign w:val="center"/>
            <w:hideMark/>
          </w:tcPr>
          <w:p w14:paraId="51536E7A" w14:textId="77777777" w:rsidR="006B17F5" w:rsidRPr="006B17F5" w:rsidRDefault="006B17F5" w:rsidP="006B17F5">
            <w:pPr>
              <w:rPr>
                <w:rFonts w:eastAsia="Times New Roman"/>
                <w:sz w:val="20"/>
                <w:szCs w:val="20"/>
                <w:lang w:val="en-AU" w:eastAsia="en-AU"/>
              </w:rPr>
            </w:pPr>
          </w:p>
        </w:tc>
      </w:tr>
      <w:tr w:rsidR="006B17F5" w:rsidRPr="006B17F5" w14:paraId="07AA1184" w14:textId="77777777" w:rsidTr="006B17F5">
        <w:trPr>
          <w:trHeight w:val="304"/>
          <w:jc w:val="center"/>
        </w:trPr>
        <w:tc>
          <w:tcPr>
            <w:tcW w:w="4580" w:type="dxa"/>
            <w:tcBorders>
              <w:top w:val="nil"/>
              <w:left w:val="nil"/>
              <w:bottom w:val="single" w:sz="8" w:space="0" w:color="auto"/>
              <w:right w:val="nil"/>
            </w:tcBorders>
            <w:shd w:val="clear" w:color="auto" w:fill="auto"/>
            <w:noWrap/>
            <w:vAlign w:val="center"/>
            <w:hideMark/>
          </w:tcPr>
          <w:p w14:paraId="19ACC87E" w14:textId="77777777" w:rsidR="006B17F5" w:rsidRPr="006B17F5" w:rsidRDefault="006B17F5" w:rsidP="006B17F5">
            <w:pPr>
              <w:rPr>
                <w:rFonts w:ascii="Morningstar 1" w:eastAsia="Times New Roman" w:hAnsi="Morningstar 1" w:cs="Calibri"/>
                <w:color w:val="000000"/>
                <w:sz w:val="22"/>
                <w:szCs w:val="22"/>
                <w:lang w:val="en-AU" w:eastAsia="en-AU"/>
              </w:rPr>
            </w:pPr>
            <w:r w:rsidRPr="006B17F5">
              <w:rPr>
                <w:rFonts w:ascii="Morningstar 1" w:eastAsia="Times New Roman" w:hAnsi="Morningstar 1" w:cs="Calibri"/>
                <w:color w:val="000000"/>
                <w:sz w:val="22"/>
                <w:szCs w:val="22"/>
                <w:lang w:eastAsia="en-AU"/>
              </w:rPr>
              <w:t>iShares Core Cash ETF</w:t>
            </w:r>
          </w:p>
        </w:tc>
        <w:tc>
          <w:tcPr>
            <w:tcW w:w="1861" w:type="dxa"/>
            <w:tcBorders>
              <w:top w:val="nil"/>
              <w:left w:val="nil"/>
              <w:bottom w:val="single" w:sz="8" w:space="0" w:color="auto"/>
              <w:right w:val="nil"/>
            </w:tcBorders>
            <w:shd w:val="clear" w:color="auto" w:fill="auto"/>
            <w:vAlign w:val="center"/>
            <w:hideMark/>
          </w:tcPr>
          <w:p w14:paraId="14943AEE" w14:textId="77777777" w:rsidR="006B17F5" w:rsidRPr="006B17F5" w:rsidRDefault="006B17F5" w:rsidP="006B17F5">
            <w:pPr>
              <w:jc w:val="center"/>
              <w:rPr>
                <w:rFonts w:ascii="Morningstar 1" w:eastAsia="Times New Roman" w:hAnsi="Morningstar 1" w:cs="Calibri"/>
                <w:b/>
                <w:bCs/>
                <w:color w:val="00B050"/>
                <w:sz w:val="22"/>
                <w:szCs w:val="22"/>
                <w:lang w:val="en-AU" w:eastAsia="en-AU"/>
              </w:rPr>
            </w:pPr>
            <w:r w:rsidRPr="006B17F5">
              <w:rPr>
                <w:rFonts w:ascii="Morningstar 1" w:eastAsia="Times New Roman" w:hAnsi="Morningstar 1" w:cs="Calibri"/>
                <w:b/>
                <w:bCs/>
                <w:color w:val="00B050"/>
                <w:sz w:val="22"/>
                <w:szCs w:val="22"/>
                <w:lang w:eastAsia="en-AU"/>
              </w:rPr>
              <w:t>Increase</w:t>
            </w:r>
          </w:p>
        </w:tc>
        <w:tc>
          <w:tcPr>
            <w:tcW w:w="296" w:type="dxa"/>
            <w:vAlign w:val="center"/>
            <w:hideMark/>
          </w:tcPr>
          <w:p w14:paraId="15A575EF" w14:textId="77777777" w:rsidR="006B17F5" w:rsidRPr="006B17F5" w:rsidRDefault="006B17F5" w:rsidP="006B17F5">
            <w:pPr>
              <w:rPr>
                <w:rFonts w:eastAsia="Times New Roman"/>
                <w:sz w:val="20"/>
                <w:szCs w:val="20"/>
                <w:lang w:val="en-AU" w:eastAsia="en-AU"/>
              </w:rPr>
            </w:pPr>
          </w:p>
        </w:tc>
      </w:tr>
    </w:tbl>
    <w:p w14:paraId="2C96BCFD" w14:textId="1B1497C5" w:rsidR="00036D1B" w:rsidRDefault="00350110" w:rsidP="00036D1B">
      <w:pPr>
        <w:rPr>
          <w:rFonts w:ascii="Morningstar 1" w:hAnsi="Morningstar 1" w:cs="Morningstar1Light"/>
          <w:sz w:val="22"/>
          <w:szCs w:val="22"/>
        </w:rPr>
      </w:pPr>
      <w:r w:rsidRPr="009C6816">
        <w:rPr>
          <w:rFonts w:ascii="Morningstar 1" w:eastAsia="Calibri" w:hAnsi="Morningstar 1"/>
        </w:rPr>
        <w:br w:type="textWrapping" w:clear="all"/>
      </w:r>
      <w:r w:rsidR="0BEECDEB">
        <w:rPr>
          <w:rFonts w:ascii="Morningstar 1" w:hAnsi="Morningstar 1" w:cs="Morningstar1Light"/>
          <w:sz w:val="22"/>
          <w:szCs w:val="22"/>
        </w:rPr>
        <w:t>Your</w:t>
      </w:r>
      <w:r w:rsidR="0BEECDEB" w:rsidRPr="009C6816">
        <w:rPr>
          <w:rFonts w:ascii="Morningstar 1" w:hAnsi="Morningstar 1" w:cs="Morningstar1Light"/>
          <w:sz w:val="22"/>
          <w:szCs w:val="22"/>
        </w:rPr>
        <w:t xml:space="preserve"> portfolio maintains a slight overweight to </w:t>
      </w:r>
      <w:r w:rsidR="0016237E">
        <w:rPr>
          <w:rFonts w:ascii="Morningstar 1" w:hAnsi="Morningstar 1" w:cs="Morningstar1Light"/>
          <w:sz w:val="22"/>
          <w:szCs w:val="22"/>
        </w:rPr>
        <w:t>defensive assets</w:t>
      </w:r>
      <w:r w:rsidR="0016237E" w:rsidRPr="009C6816">
        <w:rPr>
          <w:rFonts w:ascii="Morningstar 1" w:hAnsi="Morningstar 1" w:cs="Morningstar1Light"/>
          <w:sz w:val="22"/>
          <w:szCs w:val="22"/>
        </w:rPr>
        <w:t xml:space="preserve"> </w:t>
      </w:r>
      <w:r w:rsidR="0BEECDEB" w:rsidRPr="009C6816">
        <w:rPr>
          <w:rFonts w:ascii="Morningstar 1" w:hAnsi="Morningstar 1" w:cs="Morningstar1Light"/>
          <w:sz w:val="22"/>
          <w:szCs w:val="22"/>
        </w:rPr>
        <w:t xml:space="preserve">relative to growth assets, with a skew that is in line with </w:t>
      </w:r>
      <w:r w:rsidR="0BEECDEB" w:rsidRPr="7F0968CE">
        <w:rPr>
          <w:rFonts w:ascii="Morningstar 1" w:hAnsi="Morningstar 1" w:cs="Morningstar1Light"/>
          <w:sz w:val="22"/>
          <w:szCs w:val="22"/>
        </w:rPr>
        <w:t>recent</w:t>
      </w:r>
      <w:r w:rsidR="0BEECDEB" w:rsidRPr="009C6816">
        <w:rPr>
          <w:rFonts w:ascii="Morningstar 1" w:hAnsi="Morningstar 1" w:cs="Morningstar1Light"/>
          <w:sz w:val="22"/>
          <w:szCs w:val="22"/>
        </w:rPr>
        <w:t xml:space="preserve"> portfolio changes. The positioning reflects </w:t>
      </w:r>
      <w:r w:rsidR="0BEECDEB">
        <w:rPr>
          <w:rFonts w:ascii="Morningstar 1" w:hAnsi="Morningstar 1" w:cs="Morningstar1Light"/>
          <w:sz w:val="22"/>
          <w:szCs w:val="22"/>
        </w:rPr>
        <w:t>Morningstar’s</w:t>
      </w:r>
      <w:r w:rsidR="0BEECDEB" w:rsidRPr="009C6816">
        <w:rPr>
          <w:rFonts w:ascii="Morningstar 1" w:hAnsi="Morningstar 1" w:cs="Morningstar1Light"/>
          <w:sz w:val="22"/>
          <w:szCs w:val="22"/>
        </w:rPr>
        <w:t xml:space="preserve"> view of relative valuations and recent equity market strength.</w:t>
      </w:r>
    </w:p>
    <w:p w14:paraId="3AF6B2BF" w14:textId="2DDD0962" w:rsidR="001E51D6" w:rsidRPr="001E51D6" w:rsidRDefault="001E51D6" w:rsidP="001E51D6">
      <w:pPr>
        <w:pStyle w:val="ListParagraph"/>
        <w:spacing w:after="120"/>
        <w:ind w:left="0"/>
        <w:jc w:val="both"/>
        <w:rPr>
          <w:rFonts w:ascii="Morningstar 1" w:hAnsi="Morningstar 1"/>
        </w:rPr>
      </w:pPr>
    </w:p>
    <w:p w14:paraId="5DBC4848" w14:textId="255FDE06" w:rsidR="001E51D6" w:rsidRDefault="2FF37761" w:rsidP="00EB0095">
      <w:pPr>
        <w:pStyle w:val="ListParagraph"/>
        <w:spacing w:after="120"/>
        <w:ind w:left="0"/>
        <w:jc w:val="both"/>
        <w:rPr>
          <w:rFonts w:ascii="Morningstar 1" w:hAnsi="Morningstar 1"/>
        </w:rPr>
      </w:pPr>
      <w:r w:rsidRPr="648E39AF">
        <w:rPr>
          <w:rFonts w:ascii="Morningstar 1" w:hAnsi="Morningstar 1"/>
        </w:rPr>
        <w:t>Regarding fixed interest, Morningstar has slightly reduced the Vanguard Australian Fixed Interest Index while</w:t>
      </w:r>
      <w:r w:rsidR="70E879E0" w:rsidRPr="648E39AF">
        <w:rPr>
          <w:rFonts w:ascii="Morningstar 1" w:hAnsi="Morningstar 1"/>
        </w:rPr>
        <w:t xml:space="preserve"> still </w:t>
      </w:r>
      <w:r w:rsidRPr="648E39AF">
        <w:rPr>
          <w:rFonts w:ascii="Morningstar 1" w:hAnsi="Morningstar 1"/>
        </w:rPr>
        <w:t xml:space="preserve">maintaining a mild overweight in Australian fixed interest. Similarly, global fixed interest positions have been increased to take advantage of attractive yields and </w:t>
      </w:r>
      <w:r w:rsidR="535293D3" w:rsidRPr="648E39AF">
        <w:rPr>
          <w:rFonts w:ascii="Morningstar 1" w:hAnsi="Morningstar 1"/>
        </w:rPr>
        <w:t>diversify equity</w:t>
      </w:r>
      <w:r w:rsidRPr="648E39AF">
        <w:rPr>
          <w:rFonts w:ascii="Morningstar 1" w:hAnsi="Morningstar 1"/>
        </w:rPr>
        <w:t xml:space="preserve"> market</w:t>
      </w:r>
      <w:r w:rsidR="64D1B981" w:rsidRPr="648E39AF">
        <w:rPr>
          <w:rFonts w:ascii="Morningstar 1" w:hAnsi="Morningstar 1"/>
        </w:rPr>
        <w:t xml:space="preserve"> risks.</w:t>
      </w:r>
    </w:p>
    <w:p w14:paraId="537EA4F9" w14:textId="77777777" w:rsidR="00EB0095" w:rsidRPr="001E51D6" w:rsidRDefault="00EB0095" w:rsidP="00EB0095">
      <w:pPr>
        <w:pStyle w:val="ListParagraph"/>
        <w:spacing w:after="120"/>
        <w:ind w:left="0"/>
        <w:jc w:val="both"/>
        <w:rPr>
          <w:rFonts w:ascii="Morningstar 1" w:hAnsi="Morningstar 1"/>
        </w:rPr>
      </w:pPr>
    </w:p>
    <w:p w14:paraId="0A83196D" w14:textId="000F286D" w:rsidR="001E51D6" w:rsidRDefault="0BEECDEB" w:rsidP="5CF6815B">
      <w:pPr>
        <w:pStyle w:val="ListParagraph"/>
        <w:spacing w:after="120"/>
        <w:ind w:left="0"/>
        <w:rPr>
          <w:rFonts w:ascii="Morningstar 1" w:hAnsi="Morningstar 1"/>
        </w:rPr>
      </w:pPr>
      <w:r w:rsidRPr="648E39AF">
        <w:rPr>
          <w:rFonts w:ascii="Morningstar 1" w:hAnsi="Morningstar 1"/>
        </w:rPr>
        <w:t xml:space="preserve">Morningstar's preference for global </w:t>
      </w:r>
      <w:r w:rsidR="6BF0600F" w:rsidRPr="648E39AF">
        <w:rPr>
          <w:rFonts w:ascii="Morningstar 1" w:hAnsi="Morningstar 1"/>
        </w:rPr>
        <w:t>over domestic equities</w:t>
      </w:r>
      <w:r w:rsidRPr="648E39AF">
        <w:rPr>
          <w:rFonts w:ascii="Morningstar 1" w:hAnsi="Morningstar 1"/>
        </w:rPr>
        <w:t xml:space="preserve"> persists, contributing to the </w:t>
      </w:r>
      <w:r w:rsidR="252CDAE5" w:rsidRPr="648E39AF">
        <w:rPr>
          <w:rFonts w:ascii="Morningstar 1" w:hAnsi="Morningstar 1"/>
        </w:rPr>
        <w:t xml:space="preserve">sector </w:t>
      </w:r>
      <w:r w:rsidRPr="648E39AF">
        <w:rPr>
          <w:rFonts w:ascii="Morningstar 1" w:hAnsi="Morningstar 1"/>
        </w:rPr>
        <w:t>diversification of your portfolio. Although overall exposure to equities has been increased</w:t>
      </w:r>
      <w:r w:rsidR="25F1A118" w:rsidRPr="648E39AF">
        <w:rPr>
          <w:rFonts w:ascii="Morningstar 1" w:hAnsi="Morningstar 1"/>
        </w:rPr>
        <w:t xml:space="preserve"> as part of the new SAA</w:t>
      </w:r>
      <w:r w:rsidRPr="648E39AF">
        <w:rPr>
          <w:rFonts w:ascii="Morningstar 1" w:hAnsi="Morningstar 1"/>
        </w:rPr>
        <w:t xml:space="preserve">, </w:t>
      </w:r>
      <w:r w:rsidR="3D40057A" w:rsidRPr="648E39AF">
        <w:rPr>
          <w:rFonts w:ascii="Morningstar 1" w:hAnsi="Morningstar 1"/>
        </w:rPr>
        <w:t xml:space="preserve">stock </w:t>
      </w:r>
      <w:r w:rsidRPr="648E39AF">
        <w:rPr>
          <w:rFonts w:ascii="Morningstar 1" w:hAnsi="Morningstar 1"/>
        </w:rPr>
        <w:t xml:space="preserve">allocations are </w:t>
      </w:r>
      <w:r w:rsidR="0016237E">
        <w:rPr>
          <w:rFonts w:ascii="Morningstar 1" w:hAnsi="Morningstar 1"/>
        </w:rPr>
        <w:t>more diversified</w:t>
      </w:r>
      <w:r w:rsidRPr="648E39AF">
        <w:rPr>
          <w:rFonts w:ascii="Morningstar 1" w:hAnsi="Morningstar 1"/>
        </w:rPr>
        <w:t xml:space="preserve"> due to prevailing high valuations</w:t>
      </w:r>
      <w:r w:rsidR="56F1331A" w:rsidRPr="648E39AF">
        <w:rPr>
          <w:rFonts w:ascii="Morningstar 1" w:hAnsi="Morningstar 1"/>
        </w:rPr>
        <w:t xml:space="preserve"> of the market</w:t>
      </w:r>
      <w:r w:rsidRPr="648E39AF">
        <w:rPr>
          <w:rFonts w:ascii="Morningstar 1" w:hAnsi="Morningstar 1"/>
        </w:rPr>
        <w:t xml:space="preserve">. </w:t>
      </w:r>
    </w:p>
    <w:p w14:paraId="41929E6B" w14:textId="321DCDDB" w:rsidR="001E51D6" w:rsidRDefault="001E51D6" w:rsidP="5CF6815B">
      <w:pPr>
        <w:pStyle w:val="ListParagraph"/>
        <w:spacing w:after="120"/>
        <w:ind w:left="0"/>
        <w:rPr>
          <w:rFonts w:ascii="Morningstar 1" w:hAnsi="Morningstar 1"/>
        </w:rPr>
      </w:pPr>
    </w:p>
    <w:p w14:paraId="49C3871B" w14:textId="1106B757" w:rsidR="001E51D6" w:rsidRDefault="00036D1B" w:rsidP="00036D1B">
      <w:pPr>
        <w:pStyle w:val="ListParagraph"/>
        <w:spacing w:after="120"/>
        <w:ind w:left="0"/>
        <w:rPr>
          <w:rFonts w:ascii="Morningstar 1" w:hAnsi="Morningstar 1"/>
        </w:rPr>
      </w:pPr>
      <w:r w:rsidRPr="00036D1B">
        <w:rPr>
          <w:rFonts w:ascii="Morningstar 1" w:hAnsi="Morningstar 1"/>
        </w:rPr>
        <w:t xml:space="preserve">Your investments in property and infrastructure have been </w:t>
      </w:r>
      <w:r w:rsidR="0016237E">
        <w:rPr>
          <w:rFonts w:ascii="Morningstar 1" w:hAnsi="Morningstar 1"/>
        </w:rPr>
        <w:t>adjusted,</w:t>
      </w:r>
      <w:r w:rsidRPr="00036D1B">
        <w:rPr>
          <w:rFonts w:ascii="Morningstar 1" w:hAnsi="Morningstar 1"/>
        </w:rPr>
        <w:t xml:space="preserve"> with some reductions made while maintaining a prudent level of exposure to capitalise on current opportunities.</w:t>
      </w:r>
    </w:p>
    <w:p w14:paraId="634D65C1" w14:textId="77777777" w:rsidR="00036D1B" w:rsidRPr="001E51D6" w:rsidRDefault="00036D1B" w:rsidP="00036D1B">
      <w:pPr>
        <w:pStyle w:val="ListParagraph"/>
        <w:spacing w:after="120"/>
        <w:ind w:left="0"/>
        <w:rPr>
          <w:rFonts w:ascii="Morningstar 1" w:hAnsi="Morningstar 1"/>
        </w:rPr>
      </w:pPr>
    </w:p>
    <w:p w14:paraId="0484D022" w14:textId="22D1B3E9" w:rsidR="293D4E49" w:rsidRDefault="5C5C2F44" w:rsidP="006F6FF2">
      <w:pPr>
        <w:spacing w:after="120"/>
        <w:rPr>
          <w:rFonts w:ascii="Morningstar 1" w:eastAsia="Calibri" w:hAnsi="Morningstar 1"/>
        </w:rPr>
      </w:pPr>
      <w:r w:rsidRPr="5CF6815B">
        <w:rPr>
          <w:rFonts w:ascii="Morningstar 1" w:eastAsia="Calibri" w:hAnsi="Morningstar 1"/>
          <w:sz w:val="22"/>
          <w:szCs w:val="22"/>
        </w:rPr>
        <w:t xml:space="preserve"> As always, please let me know if you have any questions or if I can be of any assistance.</w:t>
      </w:r>
    </w:p>
    <w:p w14:paraId="4CD43AB8" w14:textId="77777777" w:rsidR="0030363F" w:rsidRPr="009C6816" w:rsidRDefault="0030363F" w:rsidP="0030363F">
      <w:pPr>
        <w:rPr>
          <w:rFonts w:ascii="Morningstar 1" w:eastAsia="Calibri" w:hAnsi="Morningstar 1"/>
          <w:sz w:val="22"/>
          <w:szCs w:val="22"/>
        </w:rPr>
      </w:pPr>
    </w:p>
    <w:p w14:paraId="0CB14A08" w14:textId="70699D3E" w:rsidR="0030363F" w:rsidRPr="009C6816" w:rsidRDefault="0030363F" w:rsidP="00B72C69">
      <w:pPr>
        <w:spacing w:after="120"/>
        <w:rPr>
          <w:rFonts w:ascii="Morningstar 1" w:eastAsia="Calibri" w:hAnsi="Morningstar 1"/>
          <w:sz w:val="22"/>
          <w:szCs w:val="22"/>
        </w:rPr>
      </w:pPr>
      <w:r w:rsidRPr="009C6816">
        <w:rPr>
          <w:rFonts w:ascii="Morningstar 1" w:eastAsia="Calibri" w:hAnsi="Morningstar 1"/>
          <w:sz w:val="22"/>
          <w:szCs w:val="22"/>
        </w:rPr>
        <w:t>Regards</w:t>
      </w:r>
      <w:r w:rsidR="00D505B7" w:rsidRPr="009C6816">
        <w:rPr>
          <w:rFonts w:ascii="Morningstar 1" w:eastAsia="Calibri" w:hAnsi="Morningstar 1"/>
          <w:sz w:val="22"/>
          <w:szCs w:val="22"/>
        </w:rPr>
        <w:t xml:space="preserve">, </w:t>
      </w:r>
      <w:r w:rsidRPr="009C6816">
        <w:rPr>
          <w:rFonts w:ascii="Morningstar 1" w:eastAsia="Calibri" w:hAnsi="Morningstar 1"/>
          <w:sz w:val="22"/>
          <w:szCs w:val="22"/>
        </w:rPr>
        <w:t>Adviser</w:t>
      </w:r>
    </w:p>
    <w:p w14:paraId="7FC222AF" w14:textId="410C83F5" w:rsidR="00EB05C2" w:rsidRPr="009C6816" w:rsidRDefault="00EB05C2" w:rsidP="00EB05C2">
      <w:pPr>
        <w:spacing w:after="160" w:line="259" w:lineRule="auto"/>
        <w:rPr>
          <w:rFonts w:ascii="Morningstar 1" w:eastAsia="Calibri" w:hAnsi="Morningstar 1"/>
          <w:b/>
          <w:bCs/>
          <w:color w:val="FF0000"/>
          <w:sz w:val="22"/>
          <w:szCs w:val="22"/>
        </w:rPr>
      </w:pPr>
      <w:r w:rsidRPr="009C6816">
        <w:rPr>
          <w:rFonts w:ascii="Morningstar 1" w:eastAsia="Calibri" w:hAnsi="Morningstar 1"/>
          <w:b/>
          <w:bCs/>
          <w:color w:val="FF0000"/>
          <w:sz w:val="22"/>
          <w:szCs w:val="22"/>
        </w:rPr>
        <w:lastRenderedPageBreak/>
        <w:t>Balanced (50)</w:t>
      </w:r>
    </w:p>
    <w:p w14:paraId="4E5F3C6F" w14:textId="77777777" w:rsidR="00484249" w:rsidRPr="009C6816" w:rsidRDefault="00484249">
      <w:pPr>
        <w:spacing w:after="120" w:line="259" w:lineRule="auto"/>
        <w:rPr>
          <w:rFonts w:ascii="Morningstar 1" w:eastAsia="Calibri" w:hAnsi="Morningstar 1"/>
          <w:sz w:val="22"/>
          <w:szCs w:val="22"/>
        </w:rPr>
      </w:pPr>
      <w:r w:rsidRPr="009C6816">
        <w:rPr>
          <w:rFonts w:ascii="Morningstar 1" w:eastAsia="Calibri" w:hAnsi="Morningstar 1"/>
          <w:sz w:val="22"/>
          <w:szCs w:val="22"/>
        </w:rPr>
        <w:t>Dear Client,</w:t>
      </w:r>
    </w:p>
    <w:p w14:paraId="1C2497E1" w14:textId="77777777" w:rsidR="006107F8" w:rsidRPr="009C6816" w:rsidRDefault="006107F8" w:rsidP="006107F8">
      <w:pPr>
        <w:pStyle w:val="ListParagraph"/>
        <w:spacing w:after="120"/>
        <w:ind w:left="0"/>
        <w:contextualSpacing w:val="0"/>
        <w:rPr>
          <w:rFonts w:ascii="Morningstar 1" w:hAnsi="Morningstar 1"/>
          <w:lang w:val="en-AU"/>
        </w:rPr>
      </w:pPr>
      <w:r w:rsidRPr="002F762E">
        <w:rPr>
          <w:rFonts w:ascii="Morningstar 1" w:hAnsi="Morningstar 1"/>
          <w:lang w:val="en-AU"/>
        </w:rPr>
        <w:t xml:space="preserve">Morningstar has updated the Morningstar Medalist Core Portfolios in April. These changes aim to reflect </w:t>
      </w:r>
      <w:r>
        <w:rPr>
          <w:rFonts w:ascii="Morningstar 1" w:hAnsi="Morningstar 1"/>
          <w:lang w:val="en-AU"/>
        </w:rPr>
        <w:t>their</w:t>
      </w:r>
      <w:r w:rsidRPr="002F762E">
        <w:rPr>
          <w:rFonts w:ascii="Morningstar 1" w:hAnsi="Morningstar 1"/>
          <w:lang w:val="en-AU"/>
        </w:rPr>
        <w:t xml:space="preserve"> top ideas in terms of asset allocation, manager selection, and manager allocation. </w:t>
      </w:r>
    </w:p>
    <w:p w14:paraId="746260F9" w14:textId="72C3DBFD" w:rsidR="00484249" w:rsidRPr="009C6816" w:rsidRDefault="00484249" w:rsidP="00484249">
      <w:pPr>
        <w:pStyle w:val="ListParagraph"/>
        <w:spacing w:after="120"/>
        <w:ind w:left="0"/>
        <w:contextualSpacing w:val="0"/>
        <w:rPr>
          <w:rFonts w:ascii="Morningstar 1" w:eastAsia="Calibri" w:hAnsi="Morningstar 1"/>
        </w:rPr>
      </w:pPr>
      <w:r w:rsidRPr="009C6816">
        <w:rPr>
          <w:rFonts w:ascii="Morningstar 1" w:eastAsia="Calibri" w:hAnsi="Morningstar 1"/>
        </w:rPr>
        <w:t xml:space="preserve">I have summarised these trades below: </w:t>
      </w:r>
    </w:p>
    <w:tbl>
      <w:tblPr>
        <w:tblW w:w="6669" w:type="dxa"/>
        <w:jc w:val="center"/>
        <w:tblLook w:val="04A0" w:firstRow="1" w:lastRow="0" w:firstColumn="1" w:lastColumn="0" w:noHBand="0" w:noVBand="1"/>
      </w:tblPr>
      <w:tblGrid>
        <w:gridCol w:w="4349"/>
        <w:gridCol w:w="2041"/>
        <w:gridCol w:w="279"/>
      </w:tblGrid>
      <w:tr w:rsidR="00EE3A76" w:rsidRPr="00EE3A76" w14:paraId="0513F1F4" w14:textId="77777777" w:rsidTr="00EE3A76">
        <w:trPr>
          <w:gridAfter w:val="1"/>
          <w:wAfter w:w="279" w:type="dxa"/>
          <w:trHeight w:val="464"/>
          <w:jc w:val="center"/>
        </w:trPr>
        <w:tc>
          <w:tcPr>
            <w:tcW w:w="4349" w:type="dxa"/>
            <w:vMerge w:val="restart"/>
            <w:tcBorders>
              <w:top w:val="single" w:sz="8" w:space="0" w:color="auto"/>
              <w:left w:val="nil"/>
              <w:bottom w:val="nil"/>
              <w:right w:val="nil"/>
            </w:tcBorders>
            <w:shd w:val="clear" w:color="000000" w:fill="D9D9D9"/>
            <w:vAlign w:val="center"/>
            <w:hideMark/>
          </w:tcPr>
          <w:p w14:paraId="066771B2" w14:textId="77777777" w:rsidR="00EE3A76" w:rsidRPr="00EE3A76" w:rsidRDefault="00EE3A76" w:rsidP="00EE3A76">
            <w:pPr>
              <w:rPr>
                <w:rFonts w:ascii="Morningstar 1" w:eastAsia="Times New Roman" w:hAnsi="Morningstar 1" w:cs="Calibri"/>
                <w:b/>
                <w:bCs/>
                <w:color w:val="000000"/>
                <w:sz w:val="22"/>
                <w:szCs w:val="22"/>
                <w:lang w:val="en-AU" w:eastAsia="en-AU"/>
              </w:rPr>
            </w:pPr>
            <w:r w:rsidRPr="00EE3A76">
              <w:rPr>
                <w:rFonts w:ascii="Morningstar 1" w:eastAsia="Times New Roman" w:hAnsi="Morningstar 1" w:cs="Calibri"/>
                <w:b/>
                <w:bCs/>
                <w:color w:val="000000"/>
                <w:sz w:val="22"/>
                <w:szCs w:val="22"/>
                <w:lang w:eastAsia="en-AU"/>
              </w:rPr>
              <w:t xml:space="preserve">Security </w:t>
            </w:r>
          </w:p>
        </w:tc>
        <w:tc>
          <w:tcPr>
            <w:tcW w:w="2041" w:type="dxa"/>
            <w:vMerge w:val="restart"/>
            <w:tcBorders>
              <w:top w:val="single" w:sz="8" w:space="0" w:color="auto"/>
              <w:left w:val="nil"/>
              <w:bottom w:val="nil"/>
              <w:right w:val="nil"/>
            </w:tcBorders>
            <w:shd w:val="clear" w:color="000000" w:fill="D9D9D9"/>
            <w:vAlign w:val="center"/>
            <w:hideMark/>
          </w:tcPr>
          <w:p w14:paraId="49816BDE" w14:textId="77777777" w:rsidR="00EE3A76" w:rsidRPr="00EE3A76" w:rsidRDefault="00EE3A76" w:rsidP="00EE3A76">
            <w:pPr>
              <w:jc w:val="center"/>
              <w:rPr>
                <w:rFonts w:ascii="Morningstar 1" w:eastAsia="Times New Roman" w:hAnsi="Morningstar 1" w:cs="Calibri"/>
                <w:b/>
                <w:bCs/>
                <w:color w:val="000000"/>
                <w:sz w:val="22"/>
                <w:szCs w:val="22"/>
                <w:lang w:val="en-AU" w:eastAsia="en-AU"/>
              </w:rPr>
            </w:pPr>
            <w:r w:rsidRPr="00EE3A76">
              <w:rPr>
                <w:rFonts w:ascii="Morningstar 1" w:eastAsia="Times New Roman" w:hAnsi="Morningstar 1" w:cs="Calibri"/>
                <w:b/>
                <w:bCs/>
                <w:color w:val="000000"/>
                <w:sz w:val="22"/>
                <w:szCs w:val="22"/>
                <w:lang w:eastAsia="en-AU"/>
              </w:rPr>
              <w:t>Portfolio Action</w:t>
            </w:r>
          </w:p>
        </w:tc>
      </w:tr>
      <w:tr w:rsidR="00EE3A76" w:rsidRPr="00EE3A76" w14:paraId="7A01FDEC" w14:textId="77777777" w:rsidTr="00EE3A76">
        <w:trPr>
          <w:trHeight w:val="60"/>
          <w:jc w:val="center"/>
        </w:trPr>
        <w:tc>
          <w:tcPr>
            <w:tcW w:w="4349" w:type="dxa"/>
            <w:vMerge/>
            <w:tcBorders>
              <w:top w:val="single" w:sz="8" w:space="0" w:color="auto"/>
              <w:left w:val="nil"/>
              <w:bottom w:val="nil"/>
              <w:right w:val="nil"/>
            </w:tcBorders>
            <w:vAlign w:val="center"/>
            <w:hideMark/>
          </w:tcPr>
          <w:p w14:paraId="6935C9FF" w14:textId="77777777" w:rsidR="00EE3A76" w:rsidRPr="00EE3A76" w:rsidRDefault="00EE3A76" w:rsidP="00EE3A76">
            <w:pPr>
              <w:rPr>
                <w:rFonts w:ascii="Morningstar 1" w:eastAsia="Times New Roman" w:hAnsi="Morningstar 1" w:cs="Calibri"/>
                <w:b/>
                <w:bCs/>
                <w:color w:val="000000"/>
                <w:sz w:val="22"/>
                <w:szCs w:val="22"/>
                <w:lang w:val="en-AU" w:eastAsia="en-AU"/>
              </w:rPr>
            </w:pPr>
          </w:p>
        </w:tc>
        <w:tc>
          <w:tcPr>
            <w:tcW w:w="2041" w:type="dxa"/>
            <w:vMerge/>
            <w:tcBorders>
              <w:top w:val="single" w:sz="8" w:space="0" w:color="auto"/>
              <w:left w:val="nil"/>
              <w:bottom w:val="nil"/>
              <w:right w:val="nil"/>
            </w:tcBorders>
            <w:vAlign w:val="center"/>
            <w:hideMark/>
          </w:tcPr>
          <w:p w14:paraId="4F9329DB" w14:textId="77777777" w:rsidR="00EE3A76" w:rsidRPr="00EE3A76" w:rsidRDefault="00EE3A76" w:rsidP="00EE3A76">
            <w:pPr>
              <w:rPr>
                <w:rFonts w:ascii="Morningstar 1" w:eastAsia="Times New Roman" w:hAnsi="Morningstar 1" w:cs="Calibri"/>
                <w:b/>
                <w:bCs/>
                <w:color w:val="000000"/>
                <w:sz w:val="22"/>
                <w:szCs w:val="22"/>
                <w:lang w:val="en-AU" w:eastAsia="en-AU"/>
              </w:rPr>
            </w:pPr>
          </w:p>
        </w:tc>
        <w:tc>
          <w:tcPr>
            <w:tcW w:w="279" w:type="dxa"/>
            <w:tcBorders>
              <w:top w:val="nil"/>
              <w:left w:val="nil"/>
              <w:bottom w:val="nil"/>
              <w:right w:val="nil"/>
            </w:tcBorders>
            <w:shd w:val="clear" w:color="auto" w:fill="auto"/>
            <w:noWrap/>
            <w:vAlign w:val="bottom"/>
            <w:hideMark/>
          </w:tcPr>
          <w:p w14:paraId="5BB997D0" w14:textId="77777777" w:rsidR="00EE3A76" w:rsidRPr="00EE3A76" w:rsidRDefault="00EE3A76" w:rsidP="00EE3A76">
            <w:pPr>
              <w:jc w:val="center"/>
              <w:rPr>
                <w:rFonts w:ascii="Morningstar 1" w:eastAsia="Times New Roman" w:hAnsi="Morningstar 1" w:cs="Calibri"/>
                <w:b/>
                <w:bCs/>
                <w:color w:val="000000"/>
                <w:sz w:val="22"/>
                <w:szCs w:val="22"/>
                <w:lang w:val="en-AU" w:eastAsia="en-AU"/>
              </w:rPr>
            </w:pPr>
          </w:p>
        </w:tc>
      </w:tr>
      <w:tr w:rsidR="00EE3A76" w:rsidRPr="00EE3A76" w14:paraId="19116B2D" w14:textId="77777777" w:rsidTr="00EE3A76">
        <w:trPr>
          <w:trHeight w:val="297"/>
          <w:jc w:val="center"/>
        </w:trPr>
        <w:tc>
          <w:tcPr>
            <w:tcW w:w="4349" w:type="dxa"/>
            <w:tcBorders>
              <w:top w:val="nil"/>
              <w:left w:val="nil"/>
              <w:bottom w:val="single" w:sz="8" w:space="0" w:color="auto"/>
              <w:right w:val="nil"/>
            </w:tcBorders>
            <w:shd w:val="clear" w:color="000000" w:fill="F2F2F2"/>
            <w:vAlign w:val="center"/>
            <w:hideMark/>
          </w:tcPr>
          <w:p w14:paraId="39772E23" w14:textId="77777777" w:rsidR="00EE3A76" w:rsidRPr="00EE3A76" w:rsidRDefault="00EE3A76" w:rsidP="00EE3A76">
            <w:pPr>
              <w:rPr>
                <w:rFonts w:ascii="Morningstar 1" w:eastAsia="Times New Roman" w:hAnsi="Morningstar 1" w:cs="Calibri"/>
                <w:b/>
                <w:bCs/>
                <w:color w:val="000000"/>
                <w:sz w:val="22"/>
                <w:szCs w:val="22"/>
                <w:lang w:val="en-AU" w:eastAsia="en-AU"/>
              </w:rPr>
            </w:pPr>
            <w:r w:rsidRPr="00EE3A76">
              <w:rPr>
                <w:rFonts w:ascii="Morningstar 1" w:eastAsia="Times New Roman" w:hAnsi="Morningstar 1" w:cs="Calibri"/>
                <w:b/>
                <w:bCs/>
                <w:color w:val="000000"/>
                <w:sz w:val="22"/>
                <w:szCs w:val="22"/>
                <w:lang w:eastAsia="en-AU"/>
              </w:rPr>
              <w:t>Australian Shares</w:t>
            </w:r>
          </w:p>
        </w:tc>
        <w:tc>
          <w:tcPr>
            <w:tcW w:w="2041" w:type="dxa"/>
            <w:tcBorders>
              <w:top w:val="nil"/>
              <w:left w:val="nil"/>
              <w:bottom w:val="single" w:sz="8" w:space="0" w:color="auto"/>
              <w:right w:val="nil"/>
            </w:tcBorders>
            <w:shd w:val="clear" w:color="000000" w:fill="F2F2F2"/>
            <w:vAlign w:val="center"/>
            <w:hideMark/>
          </w:tcPr>
          <w:p w14:paraId="2C31C1AB" w14:textId="77777777" w:rsidR="00EE3A76" w:rsidRPr="00EE3A76" w:rsidRDefault="00EE3A76" w:rsidP="00EE3A76">
            <w:pPr>
              <w:jc w:val="center"/>
              <w:rPr>
                <w:rFonts w:ascii="Morningstar 1" w:eastAsia="Times New Roman" w:hAnsi="Morningstar 1" w:cs="Calibri"/>
                <w:b/>
                <w:bCs/>
                <w:color w:val="00B050"/>
                <w:sz w:val="22"/>
                <w:szCs w:val="22"/>
                <w:lang w:val="en-AU" w:eastAsia="en-AU"/>
              </w:rPr>
            </w:pPr>
            <w:r w:rsidRPr="00EE3A76">
              <w:rPr>
                <w:rFonts w:ascii="Morningstar 1" w:eastAsia="Times New Roman" w:hAnsi="Morningstar 1" w:cs="Calibri"/>
                <w:b/>
                <w:bCs/>
                <w:color w:val="00B050"/>
                <w:sz w:val="22"/>
                <w:szCs w:val="22"/>
                <w:lang w:eastAsia="en-AU"/>
              </w:rPr>
              <w:t> </w:t>
            </w:r>
          </w:p>
        </w:tc>
        <w:tc>
          <w:tcPr>
            <w:tcW w:w="279" w:type="dxa"/>
            <w:vAlign w:val="center"/>
            <w:hideMark/>
          </w:tcPr>
          <w:p w14:paraId="0BDF8581" w14:textId="77777777" w:rsidR="00EE3A76" w:rsidRPr="00EE3A76" w:rsidRDefault="00EE3A76" w:rsidP="00EE3A76">
            <w:pPr>
              <w:rPr>
                <w:rFonts w:eastAsia="Times New Roman"/>
                <w:sz w:val="20"/>
                <w:szCs w:val="20"/>
                <w:lang w:val="en-AU" w:eastAsia="en-AU"/>
              </w:rPr>
            </w:pPr>
          </w:p>
        </w:tc>
      </w:tr>
      <w:tr w:rsidR="00EE3A76" w:rsidRPr="00EE3A76" w14:paraId="3A58798C" w14:textId="77777777" w:rsidTr="00EE3A76">
        <w:trPr>
          <w:trHeight w:val="297"/>
          <w:jc w:val="center"/>
        </w:trPr>
        <w:tc>
          <w:tcPr>
            <w:tcW w:w="4349" w:type="dxa"/>
            <w:tcBorders>
              <w:top w:val="nil"/>
              <w:left w:val="nil"/>
              <w:bottom w:val="single" w:sz="8" w:space="0" w:color="auto"/>
              <w:right w:val="nil"/>
            </w:tcBorders>
            <w:shd w:val="clear" w:color="auto" w:fill="auto"/>
            <w:noWrap/>
            <w:vAlign w:val="center"/>
            <w:hideMark/>
          </w:tcPr>
          <w:p w14:paraId="4C49517F" w14:textId="77777777" w:rsidR="00EE3A76" w:rsidRPr="00EE3A76" w:rsidRDefault="00EE3A76" w:rsidP="00EE3A76">
            <w:pPr>
              <w:rPr>
                <w:rFonts w:ascii="Morningstar 1" w:eastAsia="Times New Roman" w:hAnsi="Morningstar 1" w:cs="Calibri"/>
                <w:color w:val="000000"/>
                <w:sz w:val="22"/>
                <w:szCs w:val="22"/>
                <w:lang w:val="en-AU" w:eastAsia="en-AU"/>
              </w:rPr>
            </w:pPr>
            <w:r w:rsidRPr="00EE3A76">
              <w:rPr>
                <w:rFonts w:ascii="Morningstar 1" w:eastAsia="Times New Roman" w:hAnsi="Morningstar 1" w:cs="Calibri"/>
                <w:color w:val="000000"/>
                <w:sz w:val="22"/>
                <w:szCs w:val="22"/>
                <w:lang w:eastAsia="en-AU"/>
              </w:rPr>
              <w:t>Fidelity Australian Equities</w:t>
            </w:r>
          </w:p>
        </w:tc>
        <w:tc>
          <w:tcPr>
            <w:tcW w:w="2041" w:type="dxa"/>
            <w:tcBorders>
              <w:top w:val="nil"/>
              <w:left w:val="nil"/>
              <w:bottom w:val="single" w:sz="8" w:space="0" w:color="auto"/>
              <w:right w:val="nil"/>
            </w:tcBorders>
            <w:shd w:val="clear" w:color="auto" w:fill="auto"/>
            <w:vAlign w:val="center"/>
            <w:hideMark/>
          </w:tcPr>
          <w:p w14:paraId="33C85F29" w14:textId="77777777" w:rsidR="00EE3A76" w:rsidRPr="00EE3A76" w:rsidRDefault="00EE3A76" w:rsidP="00EE3A76">
            <w:pPr>
              <w:jc w:val="center"/>
              <w:rPr>
                <w:rFonts w:ascii="Morningstar 1" w:eastAsia="Times New Roman" w:hAnsi="Morningstar 1" w:cs="Calibri"/>
                <w:b/>
                <w:bCs/>
                <w:color w:val="FF0000"/>
                <w:sz w:val="22"/>
                <w:szCs w:val="22"/>
                <w:lang w:val="en-AU" w:eastAsia="en-AU"/>
              </w:rPr>
            </w:pPr>
            <w:r w:rsidRPr="00EE3A76">
              <w:rPr>
                <w:rFonts w:ascii="Morningstar 1" w:eastAsia="Times New Roman" w:hAnsi="Morningstar 1" w:cs="Calibri"/>
                <w:b/>
                <w:bCs/>
                <w:color w:val="FF0000"/>
                <w:sz w:val="22"/>
                <w:szCs w:val="22"/>
                <w:lang w:eastAsia="en-AU"/>
              </w:rPr>
              <w:t>Decrease</w:t>
            </w:r>
          </w:p>
        </w:tc>
        <w:tc>
          <w:tcPr>
            <w:tcW w:w="279" w:type="dxa"/>
            <w:vAlign w:val="center"/>
            <w:hideMark/>
          </w:tcPr>
          <w:p w14:paraId="28F7828F" w14:textId="77777777" w:rsidR="00EE3A76" w:rsidRPr="00EE3A76" w:rsidRDefault="00EE3A76" w:rsidP="00EE3A76">
            <w:pPr>
              <w:rPr>
                <w:rFonts w:eastAsia="Times New Roman"/>
                <w:sz w:val="20"/>
                <w:szCs w:val="20"/>
                <w:lang w:val="en-AU" w:eastAsia="en-AU"/>
              </w:rPr>
            </w:pPr>
          </w:p>
        </w:tc>
      </w:tr>
      <w:tr w:rsidR="00EE3A76" w:rsidRPr="00EE3A76" w14:paraId="13F4DFE5" w14:textId="77777777" w:rsidTr="00EE3A76">
        <w:trPr>
          <w:trHeight w:val="297"/>
          <w:jc w:val="center"/>
        </w:trPr>
        <w:tc>
          <w:tcPr>
            <w:tcW w:w="4349" w:type="dxa"/>
            <w:tcBorders>
              <w:top w:val="nil"/>
              <w:left w:val="nil"/>
              <w:bottom w:val="single" w:sz="8" w:space="0" w:color="auto"/>
              <w:right w:val="nil"/>
            </w:tcBorders>
            <w:shd w:val="clear" w:color="auto" w:fill="auto"/>
            <w:noWrap/>
            <w:vAlign w:val="center"/>
            <w:hideMark/>
          </w:tcPr>
          <w:p w14:paraId="6F3BC247" w14:textId="77777777" w:rsidR="00EE3A76" w:rsidRPr="00EE3A76" w:rsidRDefault="00EE3A76" w:rsidP="00EE3A76">
            <w:pPr>
              <w:rPr>
                <w:rFonts w:ascii="Morningstar 1" w:eastAsia="Times New Roman" w:hAnsi="Morningstar 1" w:cs="Calibri"/>
                <w:color w:val="000000"/>
                <w:sz w:val="22"/>
                <w:szCs w:val="22"/>
                <w:lang w:val="en-AU" w:eastAsia="en-AU"/>
              </w:rPr>
            </w:pPr>
            <w:r w:rsidRPr="00EE3A76">
              <w:rPr>
                <w:rFonts w:ascii="Morningstar 1" w:eastAsia="Times New Roman" w:hAnsi="Morningstar 1" w:cs="Calibri"/>
                <w:color w:val="000000"/>
                <w:sz w:val="22"/>
                <w:szCs w:val="22"/>
                <w:lang w:eastAsia="en-AU"/>
              </w:rPr>
              <w:t>Schroder WS Australian Equity Fund - WC</w:t>
            </w:r>
          </w:p>
        </w:tc>
        <w:tc>
          <w:tcPr>
            <w:tcW w:w="2041" w:type="dxa"/>
            <w:tcBorders>
              <w:top w:val="nil"/>
              <w:left w:val="nil"/>
              <w:bottom w:val="single" w:sz="8" w:space="0" w:color="auto"/>
              <w:right w:val="nil"/>
            </w:tcBorders>
            <w:shd w:val="clear" w:color="auto" w:fill="auto"/>
            <w:vAlign w:val="center"/>
            <w:hideMark/>
          </w:tcPr>
          <w:p w14:paraId="62991680" w14:textId="77777777" w:rsidR="00EE3A76" w:rsidRPr="00EE3A76" w:rsidRDefault="00EE3A76" w:rsidP="00EE3A76">
            <w:pPr>
              <w:jc w:val="center"/>
              <w:rPr>
                <w:rFonts w:ascii="Morningstar 1" w:eastAsia="Times New Roman" w:hAnsi="Morningstar 1" w:cs="Calibri"/>
                <w:b/>
                <w:bCs/>
                <w:color w:val="00B050"/>
                <w:sz w:val="22"/>
                <w:szCs w:val="22"/>
                <w:lang w:val="en-AU" w:eastAsia="en-AU"/>
              </w:rPr>
            </w:pPr>
            <w:r w:rsidRPr="00EE3A76">
              <w:rPr>
                <w:rFonts w:ascii="Morningstar 1" w:eastAsia="Times New Roman" w:hAnsi="Morningstar 1" w:cs="Calibri"/>
                <w:b/>
                <w:bCs/>
                <w:color w:val="00B050"/>
                <w:sz w:val="22"/>
                <w:szCs w:val="22"/>
                <w:lang w:eastAsia="en-AU"/>
              </w:rPr>
              <w:t>Increase</w:t>
            </w:r>
          </w:p>
        </w:tc>
        <w:tc>
          <w:tcPr>
            <w:tcW w:w="279" w:type="dxa"/>
            <w:vAlign w:val="center"/>
            <w:hideMark/>
          </w:tcPr>
          <w:p w14:paraId="26011E51" w14:textId="77777777" w:rsidR="00EE3A76" w:rsidRPr="00EE3A76" w:rsidRDefault="00EE3A76" w:rsidP="00EE3A76">
            <w:pPr>
              <w:rPr>
                <w:rFonts w:eastAsia="Times New Roman"/>
                <w:sz w:val="20"/>
                <w:szCs w:val="20"/>
                <w:lang w:val="en-AU" w:eastAsia="en-AU"/>
              </w:rPr>
            </w:pPr>
          </w:p>
        </w:tc>
      </w:tr>
      <w:tr w:rsidR="00EE3A76" w:rsidRPr="00EE3A76" w14:paraId="32EC599C" w14:textId="77777777" w:rsidTr="00EE3A76">
        <w:trPr>
          <w:trHeight w:val="297"/>
          <w:jc w:val="center"/>
        </w:trPr>
        <w:tc>
          <w:tcPr>
            <w:tcW w:w="4349" w:type="dxa"/>
            <w:tcBorders>
              <w:top w:val="nil"/>
              <w:left w:val="nil"/>
              <w:bottom w:val="single" w:sz="8" w:space="0" w:color="auto"/>
              <w:right w:val="nil"/>
            </w:tcBorders>
            <w:shd w:val="clear" w:color="000000" w:fill="F2F2F2"/>
            <w:vAlign w:val="center"/>
            <w:hideMark/>
          </w:tcPr>
          <w:p w14:paraId="343E1F32" w14:textId="77777777" w:rsidR="00EE3A76" w:rsidRPr="00EE3A76" w:rsidRDefault="00EE3A76" w:rsidP="00EE3A76">
            <w:pPr>
              <w:rPr>
                <w:rFonts w:ascii="Morningstar 1" w:eastAsia="Times New Roman" w:hAnsi="Morningstar 1" w:cs="Calibri"/>
                <w:b/>
                <w:bCs/>
                <w:color w:val="000000"/>
                <w:sz w:val="22"/>
                <w:szCs w:val="22"/>
                <w:lang w:val="en-AU" w:eastAsia="en-AU"/>
              </w:rPr>
            </w:pPr>
            <w:r w:rsidRPr="00EE3A76">
              <w:rPr>
                <w:rFonts w:ascii="Morningstar 1" w:eastAsia="Times New Roman" w:hAnsi="Morningstar 1" w:cs="Calibri"/>
                <w:b/>
                <w:bCs/>
                <w:color w:val="000000"/>
                <w:sz w:val="22"/>
                <w:szCs w:val="22"/>
                <w:lang w:eastAsia="en-AU"/>
              </w:rPr>
              <w:t>International Shares</w:t>
            </w:r>
          </w:p>
        </w:tc>
        <w:tc>
          <w:tcPr>
            <w:tcW w:w="2041" w:type="dxa"/>
            <w:tcBorders>
              <w:top w:val="nil"/>
              <w:left w:val="nil"/>
              <w:bottom w:val="single" w:sz="8" w:space="0" w:color="auto"/>
              <w:right w:val="nil"/>
            </w:tcBorders>
            <w:shd w:val="clear" w:color="000000" w:fill="F2F2F2"/>
            <w:vAlign w:val="center"/>
            <w:hideMark/>
          </w:tcPr>
          <w:p w14:paraId="4E3F942F" w14:textId="77777777" w:rsidR="00EE3A76" w:rsidRPr="00EE3A76" w:rsidRDefault="00EE3A76" w:rsidP="00EE3A76">
            <w:pPr>
              <w:jc w:val="center"/>
              <w:rPr>
                <w:rFonts w:ascii="Morningstar 1" w:eastAsia="Times New Roman" w:hAnsi="Morningstar 1" w:cs="Calibri"/>
                <w:b/>
                <w:bCs/>
                <w:color w:val="00B050"/>
                <w:sz w:val="22"/>
                <w:szCs w:val="22"/>
                <w:lang w:val="en-AU" w:eastAsia="en-AU"/>
              </w:rPr>
            </w:pPr>
            <w:r w:rsidRPr="00EE3A76">
              <w:rPr>
                <w:rFonts w:ascii="Morningstar 1" w:eastAsia="Times New Roman" w:hAnsi="Morningstar 1" w:cs="Calibri"/>
                <w:b/>
                <w:bCs/>
                <w:color w:val="00B050"/>
                <w:sz w:val="22"/>
                <w:szCs w:val="22"/>
                <w:lang w:eastAsia="en-AU"/>
              </w:rPr>
              <w:t> </w:t>
            </w:r>
          </w:p>
        </w:tc>
        <w:tc>
          <w:tcPr>
            <w:tcW w:w="279" w:type="dxa"/>
            <w:vAlign w:val="center"/>
            <w:hideMark/>
          </w:tcPr>
          <w:p w14:paraId="7824B2CD" w14:textId="77777777" w:rsidR="00EE3A76" w:rsidRPr="00EE3A76" w:rsidRDefault="00EE3A76" w:rsidP="00EE3A76">
            <w:pPr>
              <w:rPr>
                <w:rFonts w:eastAsia="Times New Roman"/>
                <w:sz w:val="20"/>
                <w:szCs w:val="20"/>
                <w:lang w:val="en-AU" w:eastAsia="en-AU"/>
              </w:rPr>
            </w:pPr>
          </w:p>
        </w:tc>
      </w:tr>
      <w:tr w:rsidR="00EE3A76" w:rsidRPr="00EE3A76" w14:paraId="17B74DB2" w14:textId="77777777" w:rsidTr="00EE3A76">
        <w:trPr>
          <w:trHeight w:val="297"/>
          <w:jc w:val="center"/>
        </w:trPr>
        <w:tc>
          <w:tcPr>
            <w:tcW w:w="4349" w:type="dxa"/>
            <w:tcBorders>
              <w:top w:val="nil"/>
              <w:left w:val="nil"/>
              <w:bottom w:val="single" w:sz="8" w:space="0" w:color="auto"/>
              <w:right w:val="nil"/>
            </w:tcBorders>
            <w:shd w:val="clear" w:color="auto" w:fill="auto"/>
            <w:noWrap/>
            <w:vAlign w:val="center"/>
            <w:hideMark/>
          </w:tcPr>
          <w:p w14:paraId="30368852" w14:textId="77777777" w:rsidR="00EE3A76" w:rsidRPr="00EE3A76" w:rsidRDefault="00EE3A76" w:rsidP="00EE3A76">
            <w:pPr>
              <w:rPr>
                <w:rFonts w:ascii="Morningstar 1" w:eastAsia="Times New Roman" w:hAnsi="Morningstar 1" w:cs="Calibri"/>
                <w:color w:val="000000"/>
                <w:sz w:val="22"/>
                <w:szCs w:val="22"/>
                <w:lang w:val="en-AU" w:eastAsia="en-AU"/>
              </w:rPr>
            </w:pPr>
            <w:r w:rsidRPr="00EE3A76">
              <w:rPr>
                <w:rFonts w:ascii="Morningstar 1" w:eastAsia="Times New Roman" w:hAnsi="Morningstar 1" w:cs="Calibri"/>
                <w:color w:val="000000"/>
                <w:sz w:val="22"/>
                <w:szCs w:val="22"/>
                <w:lang w:eastAsia="en-AU"/>
              </w:rPr>
              <w:t>GQG Partners Global Equity AUD Hedged</w:t>
            </w:r>
          </w:p>
        </w:tc>
        <w:tc>
          <w:tcPr>
            <w:tcW w:w="2041" w:type="dxa"/>
            <w:tcBorders>
              <w:top w:val="nil"/>
              <w:left w:val="nil"/>
              <w:bottom w:val="single" w:sz="8" w:space="0" w:color="auto"/>
              <w:right w:val="nil"/>
            </w:tcBorders>
            <w:shd w:val="clear" w:color="auto" w:fill="auto"/>
            <w:vAlign w:val="center"/>
            <w:hideMark/>
          </w:tcPr>
          <w:p w14:paraId="371872AE" w14:textId="77777777" w:rsidR="00EE3A76" w:rsidRPr="00EE3A76" w:rsidRDefault="00EE3A76" w:rsidP="00EE3A76">
            <w:pPr>
              <w:jc w:val="center"/>
              <w:rPr>
                <w:rFonts w:ascii="Morningstar 1" w:eastAsia="Times New Roman" w:hAnsi="Morningstar 1" w:cs="Calibri"/>
                <w:b/>
                <w:bCs/>
                <w:color w:val="FF0000"/>
                <w:sz w:val="22"/>
                <w:szCs w:val="22"/>
                <w:lang w:val="en-AU" w:eastAsia="en-AU"/>
              </w:rPr>
            </w:pPr>
            <w:r w:rsidRPr="00EE3A76">
              <w:rPr>
                <w:rFonts w:ascii="Morningstar 1" w:eastAsia="Times New Roman" w:hAnsi="Morningstar 1" w:cs="Calibri"/>
                <w:b/>
                <w:bCs/>
                <w:color w:val="FF0000"/>
                <w:sz w:val="22"/>
                <w:szCs w:val="22"/>
                <w:lang w:eastAsia="en-AU"/>
              </w:rPr>
              <w:t>Decrease</w:t>
            </w:r>
          </w:p>
        </w:tc>
        <w:tc>
          <w:tcPr>
            <w:tcW w:w="279" w:type="dxa"/>
            <w:vAlign w:val="center"/>
            <w:hideMark/>
          </w:tcPr>
          <w:p w14:paraId="3FF43C3A" w14:textId="77777777" w:rsidR="00EE3A76" w:rsidRPr="00EE3A76" w:rsidRDefault="00EE3A76" w:rsidP="00EE3A76">
            <w:pPr>
              <w:rPr>
                <w:rFonts w:eastAsia="Times New Roman"/>
                <w:sz w:val="20"/>
                <w:szCs w:val="20"/>
                <w:lang w:val="en-AU" w:eastAsia="en-AU"/>
              </w:rPr>
            </w:pPr>
          </w:p>
        </w:tc>
      </w:tr>
      <w:tr w:rsidR="00EE3A76" w:rsidRPr="00EE3A76" w14:paraId="3B584747" w14:textId="77777777" w:rsidTr="00EE3A76">
        <w:trPr>
          <w:trHeight w:val="297"/>
          <w:jc w:val="center"/>
        </w:trPr>
        <w:tc>
          <w:tcPr>
            <w:tcW w:w="4349" w:type="dxa"/>
            <w:tcBorders>
              <w:top w:val="nil"/>
              <w:left w:val="nil"/>
              <w:bottom w:val="single" w:sz="8" w:space="0" w:color="auto"/>
              <w:right w:val="nil"/>
            </w:tcBorders>
            <w:shd w:val="clear" w:color="auto" w:fill="auto"/>
            <w:noWrap/>
            <w:vAlign w:val="center"/>
            <w:hideMark/>
          </w:tcPr>
          <w:p w14:paraId="6E2C6A39" w14:textId="77777777" w:rsidR="00EE3A76" w:rsidRPr="00EE3A76" w:rsidRDefault="00EE3A76" w:rsidP="00EE3A76">
            <w:pPr>
              <w:rPr>
                <w:rFonts w:ascii="Morningstar 1" w:eastAsia="Times New Roman" w:hAnsi="Morningstar 1" w:cs="Calibri"/>
                <w:color w:val="000000"/>
                <w:sz w:val="22"/>
                <w:szCs w:val="22"/>
                <w:lang w:val="en-AU" w:eastAsia="en-AU"/>
              </w:rPr>
            </w:pPr>
            <w:r w:rsidRPr="00EE3A76">
              <w:rPr>
                <w:rFonts w:ascii="Morningstar 1" w:eastAsia="Times New Roman" w:hAnsi="Morningstar 1" w:cs="Calibri"/>
                <w:color w:val="000000"/>
                <w:sz w:val="22"/>
                <w:szCs w:val="22"/>
                <w:lang w:eastAsia="en-AU"/>
              </w:rPr>
              <w:t>Capital Group New Perspective (AU)</w:t>
            </w:r>
          </w:p>
        </w:tc>
        <w:tc>
          <w:tcPr>
            <w:tcW w:w="2041" w:type="dxa"/>
            <w:tcBorders>
              <w:top w:val="nil"/>
              <w:left w:val="nil"/>
              <w:bottom w:val="single" w:sz="8" w:space="0" w:color="auto"/>
              <w:right w:val="nil"/>
            </w:tcBorders>
            <w:shd w:val="clear" w:color="auto" w:fill="auto"/>
            <w:vAlign w:val="center"/>
            <w:hideMark/>
          </w:tcPr>
          <w:p w14:paraId="38F3EE44" w14:textId="77777777" w:rsidR="00EE3A76" w:rsidRPr="00EE3A76" w:rsidRDefault="00EE3A76" w:rsidP="00EE3A76">
            <w:pPr>
              <w:jc w:val="center"/>
              <w:rPr>
                <w:rFonts w:ascii="Morningstar 1" w:eastAsia="Times New Roman" w:hAnsi="Morningstar 1" w:cs="Calibri"/>
                <w:b/>
                <w:bCs/>
                <w:color w:val="FF0000"/>
                <w:sz w:val="22"/>
                <w:szCs w:val="22"/>
                <w:lang w:val="en-AU" w:eastAsia="en-AU"/>
              </w:rPr>
            </w:pPr>
            <w:r w:rsidRPr="00EE3A76">
              <w:rPr>
                <w:rFonts w:ascii="Morningstar 1" w:eastAsia="Times New Roman" w:hAnsi="Morningstar 1" w:cs="Calibri"/>
                <w:b/>
                <w:bCs/>
                <w:color w:val="FF0000"/>
                <w:sz w:val="22"/>
                <w:szCs w:val="22"/>
                <w:lang w:eastAsia="en-AU"/>
              </w:rPr>
              <w:t>Decrease</w:t>
            </w:r>
          </w:p>
        </w:tc>
        <w:tc>
          <w:tcPr>
            <w:tcW w:w="279" w:type="dxa"/>
            <w:vAlign w:val="center"/>
            <w:hideMark/>
          </w:tcPr>
          <w:p w14:paraId="01086D5D" w14:textId="77777777" w:rsidR="00EE3A76" w:rsidRPr="00EE3A76" w:rsidRDefault="00EE3A76" w:rsidP="00EE3A76">
            <w:pPr>
              <w:rPr>
                <w:rFonts w:eastAsia="Times New Roman"/>
                <w:sz w:val="20"/>
                <w:szCs w:val="20"/>
                <w:lang w:val="en-AU" w:eastAsia="en-AU"/>
              </w:rPr>
            </w:pPr>
          </w:p>
        </w:tc>
      </w:tr>
      <w:tr w:rsidR="00EE3A76" w:rsidRPr="00EE3A76" w14:paraId="3BED6AE9" w14:textId="77777777" w:rsidTr="00EE3A76">
        <w:trPr>
          <w:trHeight w:val="297"/>
          <w:jc w:val="center"/>
        </w:trPr>
        <w:tc>
          <w:tcPr>
            <w:tcW w:w="4349" w:type="dxa"/>
            <w:tcBorders>
              <w:top w:val="nil"/>
              <w:left w:val="nil"/>
              <w:bottom w:val="single" w:sz="8" w:space="0" w:color="auto"/>
              <w:right w:val="nil"/>
            </w:tcBorders>
            <w:shd w:val="clear" w:color="auto" w:fill="auto"/>
            <w:noWrap/>
            <w:vAlign w:val="center"/>
            <w:hideMark/>
          </w:tcPr>
          <w:p w14:paraId="44B33501" w14:textId="77777777" w:rsidR="00EE3A76" w:rsidRPr="00EE3A76" w:rsidRDefault="00EE3A76" w:rsidP="00EE3A76">
            <w:pPr>
              <w:rPr>
                <w:rFonts w:ascii="Morningstar 1" w:eastAsia="Times New Roman" w:hAnsi="Morningstar 1" w:cs="Calibri"/>
                <w:color w:val="000000"/>
                <w:sz w:val="22"/>
                <w:szCs w:val="22"/>
                <w:lang w:val="en-AU" w:eastAsia="en-AU"/>
              </w:rPr>
            </w:pPr>
            <w:r w:rsidRPr="00EE3A76">
              <w:rPr>
                <w:rFonts w:ascii="Morningstar 1" w:eastAsia="Times New Roman" w:hAnsi="Morningstar 1" w:cs="Calibri"/>
                <w:color w:val="000000"/>
                <w:sz w:val="22"/>
                <w:szCs w:val="22"/>
                <w:lang w:eastAsia="en-AU"/>
              </w:rPr>
              <w:t>Barrow Hanley Global Share S</w:t>
            </w:r>
          </w:p>
        </w:tc>
        <w:tc>
          <w:tcPr>
            <w:tcW w:w="2041" w:type="dxa"/>
            <w:tcBorders>
              <w:top w:val="nil"/>
              <w:left w:val="nil"/>
              <w:bottom w:val="single" w:sz="8" w:space="0" w:color="auto"/>
              <w:right w:val="nil"/>
            </w:tcBorders>
            <w:shd w:val="clear" w:color="auto" w:fill="auto"/>
            <w:vAlign w:val="center"/>
            <w:hideMark/>
          </w:tcPr>
          <w:p w14:paraId="2A052DDF" w14:textId="77777777" w:rsidR="00EE3A76" w:rsidRPr="00EE3A76" w:rsidRDefault="00EE3A76" w:rsidP="00EE3A76">
            <w:pPr>
              <w:jc w:val="center"/>
              <w:rPr>
                <w:rFonts w:ascii="Morningstar 1" w:eastAsia="Times New Roman" w:hAnsi="Morningstar 1" w:cs="Calibri"/>
                <w:b/>
                <w:bCs/>
                <w:color w:val="00B050"/>
                <w:sz w:val="22"/>
                <w:szCs w:val="22"/>
                <w:lang w:val="en-AU" w:eastAsia="en-AU"/>
              </w:rPr>
            </w:pPr>
            <w:r w:rsidRPr="00EE3A76">
              <w:rPr>
                <w:rFonts w:ascii="Morningstar 1" w:eastAsia="Times New Roman" w:hAnsi="Morningstar 1" w:cs="Calibri"/>
                <w:b/>
                <w:bCs/>
                <w:color w:val="00B050"/>
                <w:sz w:val="22"/>
                <w:szCs w:val="22"/>
                <w:lang w:eastAsia="en-AU"/>
              </w:rPr>
              <w:t>Increase</w:t>
            </w:r>
          </w:p>
        </w:tc>
        <w:tc>
          <w:tcPr>
            <w:tcW w:w="279" w:type="dxa"/>
            <w:vAlign w:val="center"/>
            <w:hideMark/>
          </w:tcPr>
          <w:p w14:paraId="23BD9AEE" w14:textId="77777777" w:rsidR="00EE3A76" w:rsidRPr="00EE3A76" w:rsidRDefault="00EE3A76" w:rsidP="00EE3A76">
            <w:pPr>
              <w:rPr>
                <w:rFonts w:eastAsia="Times New Roman"/>
                <w:sz w:val="20"/>
                <w:szCs w:val="20"/>
                <w:lang w:val="en-AU" w:eastAsia="en-AU"/>
              </w:rPr>
            </w:pPr>
          </w:p>
        </w:tc>
      </w:tr>
      <w:tr w:rsidR="00EE3A76" w:rsidRPr="00EE3A76" w14:paraId="506AFE79" w14:textId="77777777" w:rsidTr="00EE3A76">
        <w:trPr>
          <w:trHeight w:val="297"/>
          <w:jc w:val="center"/>
        </w:trPr>
        <w:tc>
          <w:tcPr>
            <w:tcW w:w="4349" w:type="dxa"/>
            <w:tcBorders>
              <w:top w:val="nil"/>
              <w:left w:val="nil"/>
              <w:bottom w:val="single" w:sz="8" w:space="0" w:color="auto"/>
              <w:right w:val="nil"/>
            </w:tcBorders>
            <w:shd w:val="clear" w:color="000000" w:fill="F2F2F2"/>
            <w:vAlign w:val="center"/>
            <w:hideMark/>
          </w:tcPr>
          <w:p w14:paraId="1E2B4D4E" w14:textId="77777777" w:rsidR="00EE3A76" w:rsidRPr="00EE3A76" w:rsidRDefault="00EE3A76" w:rsidP="00EE3A76">
            <w:pPr>
              <w:rPr>
                <w:rFonts w:ascii="Morningstar 1" w:eastAsia="Times New Roman" w:hAnsi="Morningstar 1" w:cs="Calibri"/>
                <w:b/>
                <w:bCs/>
                <w:color w:val="000000"/>
                <w:sz w:val="22"/>
                <w:szCs w:val="22"/>
                <w:lang w:val="en-AU" w:eastAsia="en-AU"/>
              </w:rPr>
            </w:pPr>
            <w:r w:rsidRPr="00EE3A76">
              <w:rPr>
                <w:rFonts w:ascii="Morningstar 1" w:eastAsia="Times New Roman" w:hAnsi="Morningstar 1" w:cs="Calibri"/>
                <w:b/>
                <w:bCs/>
                <w:color w:val="000000"/>
                <w:sz w:val="22"/>
                <w:szCs w:val="22"/>
                <w:lang w:eastAsia="en-AU"/>
              </w:rPr>
              <w:t>Property and Infrastructure</w:t>
            </w:r>
          </w:p>
        </w:tc>
        <w:tc>
          <w:tcPr>
            <w:tcW w:w="2041" w:type="dxa"/>
            <w:tcBorders>
              <w:top w:val="nil"/>
              <w:left w:val="nil"/>
              <w:bottom w:val="single" w:sz="8" w:space="0" w:color="auto"/>
              <w:right w:val="nil"/>
            </w:tcBorders>
            <w:shd w:val="clear" w:color="000000" w:fill="F2F2F2"/>
            <w:vAlign w:val="center"/>
            <w:hideMark/>
          </w:tcPr>
          <w:p w14:paraId="7E4168F2" w14:textId="77777777" w:rsidR="00EE3A76" w:rsidRPr="00EE3A76" w:rsidRDefault="00EE3A76" w:rsidP="00EE3A76">
            <w:pPr>
              <w:jc w:val="center"/>
              <w:rPr>
                <w:rFonts w:ascii="Morningstar 1" w:eastAsia="Times New Roman" w:hAnsi="Morningstar 1" w:cs="Calibri"/>
                <w:b/>
                <w:bCs/>
                <w:color w:val="000000"/>
                <w:sz w:val="22"/>
                <w:szCs w:val="22"/>
                <w:lang w:val="en-AU" w:eastAsia="en-AU"/>
              </w:rPr>
            </w:pPr>
            <w:r w:rsidRPr="00EE3A76">
              <w:rPr>
                <w:rFonts w:ascii="Morningstar 1" w:eastAsia="Times New Roman" w:hAnsi="Morningstar 1" w:cs="Calibri"/>
                <w:b/>
                <w:bCs/>
                <w:color w:val="000000"/>
                <w:sz w:val="22"/>
                <w:szCs w:val="22"/>
                <w:lang w:eastAsia="en-AU"/>
              </w:rPr>
              <w:t> </w:t>
            </w:r>
          </w:p>
        </w:tc>
        <w:tc>
          <w:tcPr>
            <w:tcW w:w="279" w:type="dxa"/>
            <w:vAlign w:val="center"/>
            <w:hideMark/>
          </w:tcPr>
          <w:p w14:paraId="2E641449" w14:textId="77777777" w:rsidR="00EE3A76" w:rsidRPr="00EE3A76" w:rsidRDefault="00EE3A76" w:rsidP="00EE3A76">
            <w:pPr>
              <w:rPr>
                <w:rFonts w:eastAsia="Times New Roman"/>
                <w:sz w:val="20"/>
                <w:szCs w:val="20"/>
                <w:lang w:val="en-AU" w:eastAsia="en-AU"/>
              </w:rPr>
            </w:pPr>
          </w:p>
        </w:tc>
      </w:tr>
      <w:tr w:rsidR="00EE3A76" w:rsidRPr="00EE3A76" w14:paraId="76CFB194" w14:textId="77777777" w:rsidTr="00EE3A76">
        <w:trPr>
          <w:trHeight w:val="297"/>
          <w:jc w:val="center"/>
        </w:trPr>
        <w:tc>
          <w:tcPr>
            <w:tcW w:w="4349" w:type="dxa"/>
            <w:tcBorders>
              <w:top w:val="nil"/>
              <w:left w:val="nil"/>
              <w:bottom w:val="single" w:sz="8" w:space="0" w:color="auto"/>
              <w:right w:val="nil"/>
            </w:tcBorders>
            <w:shd w:val="clear" w:color="auto" w:fill="auto"/>
            <w:noWrap/>
            <w:vAlign w:val="center"/>
            <w:hideMark/>
          </w:tcPr>
          <w:p w14:paraId="33B14C83" w14:textId="77777777" w:rsidR="00EE3A76" w:rsidRPr="00EE3A76" w:rsidRDefault="00EE3A76" w:rsidP="00EE3A76">
            <w:pPr>
              <w:rPr>
                <w:rFonts w:ascii="Morningstar 1" w:eastAsia="Times New Roman" w:hAnsi="Morningstar 1" w:cs="Calibri"/>
                <w:color w:val="000000"/>
                <w:sz w:val="22"/>
                <w:szCs w:val="22"/>
                <w:lang w:val="en-AU" w:eastAsia="en-AU"/>
              </w:rPr>
            </w:pPr>
            <w:r w:rsidRPr="00EE3A76">
              <w:rPr>
                <w:rFonts w:ascii="Morningstar 1" w:eastAsia="Times New Roman" w:hAnsi="Morningstar 1" w:cs="Calibri"/>
                <w:color w:val="000000"/>
                <w:sz w:val="22"/>
                <w:szCs w:val="22"/>
                <w:lang w:eastAsia="en-AU"/>
              </w:rPr>
              <w:t>iShares Global Listed Property Idx Hdg S</w:t>
            </w:r>
          </w:p>
        </w:tc>
        <w:tc>
          <w:tcPr>
            <w:tcW w:w="2041" w:type="dxa"/>
            <w:tcBorders>
              <w:top w:val="nil"/>
              <w:left w:val="nil"/>
              <w:bottom w:val="single" w:sz="8" w:space="0" w:color="auto"/>
              <w:right w:val="nil"/>
            </w:tcBorders>
            <w:shd w:val="clear" w:color="auto" w:fill="auto"/>
            <w:vAlign w:val="center"/>
            <w:hideMark/>
          </w:tcPr>
          <w:p w14:paraId="33D10E4A" w14:textId="77777777" w:rsidR="00EE3A76" w:rsidRPr="00EE3A76" w:rsidRDefault="00EE3A76" w:rsidP="00EE3A76">
            <w:pPr>
              <w:jc w:val="center"/>
              <w:rPr>
                <w:rFonts w:ascii="Morningstar 1" w:eastAsia="Times New Roman" w:hAnsi="Morningstar 1" w:cs="Calibri"/>
                <w:b/>
                <w:bCs/>
                <w:color w:val="FF0000"/>
                <w:sz w:val="22"/>
                <w:szCs w:val="22"/>
                <w:lang w:val="en-AU" w:eastAsia="en-AU"/>
              </w:rPr>
            </w:pPr>
            <w:r w:rsidRPr="00EE3A76">
              <w:rPr>
                <w:rFonts w:ascii="Morningstar 1" w:eastAsia="Times New Roman" w:hAnsi="Morningstar 1" w:cs="Calibri"/>
                <w:b/>
                <w:bCs/>
                <w:color w:val="FF0000"/>
                <w:sz w:val="22"/>
                <w:szCs w:val="22"/>
                <w:lang w:eastAsia="en-AU"/>
              </w:rPr>
              <w:t>Decrease</w:t>
            </w:r>
          </w:p>
        </w:tc>
        <w:tc>
          <w:tcPr>
            <w:tcW w:w="279" w:type="dxa"/>
            <w:vAlign w:val="center"/>
            <w:hideMark/>
          </w:tcPr>
          <w:p w14:paraId="761DF868" w14:textId="77777777" w:rsidR="00EE3A76" w:rsidRPr="00EE3A76" w:rsidRDefault="00EE3A76" w:rsidP="00EE3A76">
            <w:pPr>
              <w:rPr>
                <w:rFonts w:eastAsia="Times New Roman"/>
                <w:sz w:val="20"/>
                <w:szCs w:val="20"/>
                <w:lang w:val="en-AU" w:eastAsia="en-AU"/>
              </w:rPr>
            </w:pPr>
          </w:p>
        </w:tc>
      </w:tr>
      <w:tr w:rsidR="00EE3A76" w:rsidRPr="00EE3A76" w14:paraId="3C1CD93D" w14:textId="77777777" w:rsidTr="00EE3A76">
        <w:trPr>
          <w:trHeight w:val="297"/>
          <w:jc w:val="center"/>
        </w:trPr>
        <w:tc>
          <w:tcPr>
            <w:tcW w:w="4349" w:type="dxa"/>
            <w:tcBorders>
              <w:top w:val="nil"/>
              <w:left w:val="nil"/>
              <w:bottom w:val="single" w:sz="8" w:space="0" w:color="auto"/>
              <w:right w:val="nil"/>
            </w:tcBorders>
            <w:shd w:val="clear" w:color="000000" w:fill="F2F2F2"/>
            <w:vAlign w:val="center"/>
            <w:hideMark/>
          </w:tcPr>
          <w:p w14:paraId="18DC6817" w14:textId="77777777" w:rsidR="00EE3A76" w:rsidRPr="00EE3A76" w:rsidRDefault="00EE3A76" w:rsidP="00EE3A76">
            <w:pPr>
              <w:rPr>
                <w:rFonts w:ascii="Morningstar 1" w:eastAsia="Times New Roman" w:hAnsi="Morningstar 1" w:cs="Calibri"/>
                <w:b/>
                <w:bCs/>
                <w:color w:val="000000"/>
                <w:sz w:val="22"/>
                <w:szCs w:val="22"/>
                <w:lang w:val="en-AU" w:eastAsia="en-AU"/>
              </w:rPr>
            </w:pPr>
            <w:r w:rsidRPr="00EE3A76">
              <w:rPr>
                <w:rFonts w:ascii="Morningstar 1" w:eastAsia="Times New Roman" w:hAnsi="Morningstar 1" w:cs="Calibri"/>
                <w:b/>
                <w:bCs/>
                <w:color w:val="000000"/>
                <w:sz w:val="22"/>
                <w:szCs w:val="22"/>
                <w:lang w:eastAsia="en-AU"/>
              </w:rPr>
              <w:t>Australian Fixed Interest</w:t>
            </w:r>
          </w:p>
        </w:tc>
        <w:tc>
          <w:tcPr>
            <w:tcW w:w="2041" w:type="dxa"/>
            <w:tcBorders>
              <w:top w:val="nil"/>
              <w:left w:val="nil"/>
              <w:bottom w:val="single" w:sz="8" w:space="0" w:color="auto"/>
              <w:right w:val="nil"/>
            </w:tcBorders>
            <w:shd w:val="clear" w:color="000000" w:fill="F2F2F2"/>
            <w:vAlign w:val="center"/>
            <w:hideMark/>
          </w:tcPr>
          <w:p w14:paraId="5A91EE6E" w14:textId="77777777" w:rsidR="00EE3A76" w:rsidRPr="00EE3A76" w:rsidRDefault="00EE3A76" w:rsidP="00EE3A76">
            <w:pPr>
              <w:jc w:val="center"/>
              <w:rPr>
                <w:rFonts w:ascii="Morningstar 1" w:eastAsia="Times New Roman" w:hAnsi="Morningstar 1" w:cs="Calibri"/>
                <w:b/>
                <w:bCs/>
                <w:color w:val="000000"/>
                <w:sz w:val="22"/>
                <w:szCs w:val="22"/>
                <w:lang w:val="en-AU" w:eastAsia="en-AU"/>
              </w:rPr>
            </w:pPr>
            <w:r w:rsidRPr="00EE3A76">
              <w:rPr>
                <w:rFonts w:ascii="Morningstar 1" w:eastAsia="Times New Roman" w:hAnsi="Morningstar 1" w:cs="Calibri"/>
                <w:b/>
                <w:bCs/>
                <w:color w:val="000000"/>
                <w:sz w:val="22"/>
                <w:szCs w:val="22"/>
                <w:lang w:eastAsia="en-AU"/>
              </w:rPr>
              <w:t> </w:t>
            </w:r>
          </w:p>
        </w:tc>
        <w:tc>
          <w:tcPr>
            <w:tcW w:w="279" w:type="dxa"/>
            <w:vAlign w:val="center"/>
            <w:hideMark/>
          </w:tcPr>
          <w:p w14:paraId="2B74D505" w14:textId="77777777" w:rsidR="00EE3A76" w:rsidRPr="00EE3A76" w:rsidRDefault="00EE3A76" w:rsidP="00EE3A76">
            <w:pPr>
              <w:rPr>
                <w:rFonts w:eastAsia="Times New Roman"/>
                <w:sz w:val="20"/>
                <w:szCs w:val="20"/>
                <w:lang w:val="en-AU" w:eastAsia="en-AU"/>
              </w:rPr>
            </w:pPr>
          </w:p>
        </w:tc>
      </w:tr>
      <w:tr w:rsidR="00EE3A76" w:rsidRPr="00EE3A76" w14:paraId="399F5348" w14:textId="77777777" w:rsidTr="00EE3A76">
        <w:trPr>
          <w:trHeight w:val="297"/>
          <w:jc w:val="center"/>
        </w:trPr>
        <w:tc>
          <w:tcPr>
            <w:tcW w:w="4349" w:type="dxa"/>
            <w:tcBorders>
              <w:top w:val="nil"/>
              <w:left w:val="nil"/>
              <w:bottom w:val="single" w:sz="8" w:space="0" w:color="auto"/>
              <w:right w:val="nil"/>
            </w:tcBorders>
            <w:shd w:val="clear" w:color="auto" w:fill="auto"/>
            <w:noWrap/>
            <w:vAlign w:val="center"/>
            <w:hideMark/>
          </w:tcPr>
          <w:p w14:paraId="39C6CA62" w14:textId="77777777" w:rsidR="00EE3A76" w:rsidRPr="00EE3A76" w:rsidRDefault="00EE3A76" w:rsidP="00EE3A76">
            <w:pPr>
              <w:rPr>
                <w:rFonts w:ascii="Morningstar 1" w:eastAsia="Times New Roman" w:hAnsi="Morningstar 1" w:cs="Calibri"/>
                <w:color w:val="000000"/>
                <w:sz w:val="22"/>
                <w:szCs w:val="22"/>
                <w:lang w:val="en-AU" w:eastAsia="en-AU"/>
              </w:rPr>
            </w:pPr>
            <w:r w:rsidRPr="00EE3A76">
              <w:rPr>
                <w:rFonts w:ascii="Morningstar 1" w:eastAsia="Times New Roman" w:hAnsi="Morningstar 1" w:cs="Calibri"/>
                <w:color w:val="000000"/>
                <w:sz w:val="22"/>
                <w:szCs w:val="22"/>
                <w:lang w:eastAsia="en-AU"/>
              </w:rPr>
              <w:t>Vanguard Australian Fixed Interest ETF</w:t>
            </w:r>
          </w:p>
        </w:tc>
        <w:tc>
          <w:tcPr>
            <w:tcW w:w="2041" w:type="dxa"/>
            <w:tcBorders>
              <w:top w:val="nil"/>
              <w:left w:val="nil"/>
              <w:bottom w:val="single" w:sz="8" w:space="0" w:color="auto"/>
              <w:right w:val="nil"/>
            </w:tcBorders>
            <w:shd w:val="clear" w:color="auto" w:fill="auto"/>
            <w:vAlign w:val="center"/>
            <w:hideMark/>
          </w:tcPr>
          <w:p w14:paraId="1A4EE78C" w14:textId="77777777" w:rsidR="00EE3A76" w:rsidRPr="00EE3A76" w:rsidRDefault="00EE3A76" w:rsidP="00EE3A76">
            <w:pPr>
              <w:jc w:val="center"/>
              <w:rPr>
                <w:rFonts w:ascii="Morningstar 1" w:eastAsia="Times New Roman" w:hAnsi="Morningstar 1" w:cs="Calibri"/>
                <w:b/>
                <w:bCs/>
                <w:color w:val="FF0000"/>
                <w:sz w:val="22"/>
                <w:szCs w:val="22"/>
                <w:lang w:val="en-AU" w:eastAsia="en-AU"/>
              </w:rPr>
            </w:pPr>
            <w:r w:rsidRPr="00EE3A76">
              <w:rPr>
                <w:rFonts w:ascii="Morningstar 1" w:eastAsia="Times New Roman" w:hAnsi="Morningstar 1" w:cs="Calibri"/>
                <w:b/>
                <w:bCs/>
                <w:color w:val="FF0000"/>
                <w:sz w:val="22"/>
                <w:szCs w:val="22"/>
                <w:lang w:eastAsia="en-AU"/>
              </w:rPr>
              <w:t>Decrease</w:t>
            </w:r>
          </w:p>
        </w:tc>
        <w:tc>
          <w:tcPr>
            <w:tcW w:w="279" w:type="dxa"/>
            <w:vAlign w:val="center"/>
            <w:hideMark/>
          </w:tcPr>
          <w:p w14:paraId="6015A672" w14:textId="77777777" w:rsidR="00EE3A76" w:rsidRPr="00EE3A76" w:rsidRDefault="00EE3A76" w:rsidP="00EE3A76">
            <w:pPr>
              <w:rPr>
                <w:rFonts w:eastAsia="Times New Roman"/>
                <w:sz w:val="20"/>
                <w:szCs w:val="20"/>
                <w:lang w:val="en-AU" w:eastAsia="en-AU"/>
              </w:rPr>
            </w:pPr>
          </w:p>
        </w:tc>
      </w:tr>
      <w:tr w:rsidR="00EE3A76" w:rsidRPr="00EE3A76" w14:paraId="3A51CE40" w14:textId="77777777" w:rsidTr="00EE3A76">
        <w:trPr>
          <w:trHeight w:val="297"/>
          <w:jc w:val="center"/>
        </w:trPr>
        <w:tc>
          <w:tcPr>
            <w:tcW w:w="4349" w:type="dxa"/>
            <w:tcBorders>
              <w:top w:val="nil"/>
              <w:left w:val="nil"/>
              <w:bottom w:val="single" w:sz="8" w:space="0" w:color="auto"/>
              <w:right w:val="nil"/>
            </w:tcBorders>
            <w:shd w:val="clear" w:color="auto" w:fill="auto"/>
            <w:noWrap/>
            <w:vAlign w:val="center"/>
            <w:hideMark/>
          </w:tcPr>
          <w:p w14:paraId="304AD244" w14:textId="77777777" w:rsidR="00EE3A76" w:rsidRPr="00EE3A76" w:rsidRDefault="00EE3A76" w:rsidP="00EE3A76">
            <w:pPr>
              <w:rPr>
                <w:rFonts w:ascii="Morningstar 1" w:eastAsia="Times New Roman" w:hAnsi="Morningstar 1" w:cs="Calibri"/>
                <w:color w:val="000000"/>
                <w:sz w:val="22"/>
                <w:szCs w:val="22"/>
                <w:lang w:val="en-AU" w:eastAsia="en-AU"/>
              </w:rPr>
            </w:pPr>
            <w:r w:rsidRPr="00EE3A76">
              <w:rPr>
                <w:rFonts w:ascii="Morningstar 1" w:eastAsia="Times New Roman" w:hAnsi="Morningstar 1" w:cs="Calibri"/>
                <w:color w:val="000000"/>
                <w:sz w:val="22"/>
                <w:szCs w:val="22"/>
                <w:lang w:eastAsia="en-AU"/>
              </w:rPr>
              <w:t>Janus Henderson Tactical Income</w:t>
            </w:r>
          </w:p>
        </w:tc>
        <w:tc>
          <w:tcPr>
            <w:tcW w:w="2041" w:type="dxa"/>
            <w:tcBorders>
              <w:top w:val="nil"/>
              <w:left w:val="nil"/>
              <w:bottom w:val="single" w:sz="8" w:space="0" w:color="auto"/>
              <w:right w:val="nil"/>
            </w:tcBorders>
            <w:shd w:val="clear" w:color="auto" w:fill="auto"/>
            <w:vAlign w:val="center"/>
            <w:hideMark/>
          </w:tcPr>
          <w:p w14:paraId="41713DC4" w14:textId="77777777" w:rsidR="00EE3A76" w:rsidRPr="00EE3A76" w:rsidRDefault="00EE3A76" w:rsidP="00EE3A76">
            <w:pPr>
              <w:jc w:val="center"/>
              <w:rPr>
                <w:rFonts w:ascii="Morningstar 1" w:eastAsia="Times New Roman" w:hAnsi="Morningstar 1" w:cs="Calibri"/>
                <w:b/>
                <w:bCs/>
                <w:color w:val="00B050"/>
                <w:sz w:val="22"/>
                <w:szCs w:val="22"/>
                <w:lang w:val="en-AU" w:eastAsia="en-AU"/>
              </w:rPr>
            </w:pPr>
            <w:r w:rsidRPr="00EE3A76">
              <w:rPr>
                <w:rFonts w:ascii="Morningstar 1" w:eastAsia="Times New Roman" w:hAnsi="Morningstar 1" w:cs="Calibri"/>
                <w:b/>
                <w:bCs/>
                <w:color w:val="00B050"/>
                <w:sz w:val="22"/>
                <w:szCs w:val="22"/>
                <w:lang w:eastAsia="en-AU"/>
              </w:rPr>
              <w:t>Increase</w:t>
            </w:r>
          </w:p>
        </w:tc>
        <w:tc>
          <w:tcPr>
            <w:tcW w:w="279" w:type="dxa"/>
            <w:vAlign w:val="center"/>
            <w:hideMark/>
          </w:tcPr>
          <w:p w14:paraId="305B517C" w14:textId="77777777" w:rsidR="00EE3A76" w:rsidRPr="00EE3A76" w:rsidRDefault="00EE3A76" w:rsidP="00EE3A76">
            <w:pPr>
              <w:rPr>
                <w:rFonts w:eastAsia="Times New Roman"/>
                <w:sz w:val="20"/>
                <w:szCs w:val="20"/>
                <w:lang w:val="en-AU" w:eastAsia="en-AU"/>
              </w:rPr>
            </w:pPr>
          </w:p>
        </w:tc>
      </w:tr>
      <w:tr w:rsidR="00EE3A76" w:rsidRPr="00EE3A76" w14:paraId="2C2AEABD" w14:textId="77777777" w:rsidTr="00EE3A76">
        <w:trPr>
          <w:trHeight w:val="297"/>
          <w:jc w:val="center"/>
        </w:trPr>
        <w:tc>
          <w:tcPr>
            <w:tcW w:w="4349" w:type="dxa"/>
            <w:tcBorders>
              <w:top w:val="nil"/>
              <w:left w:val="nil"/>
              <w:bottom w:val="single" w:sz="8" w:space="0" w:color="auto"/>
              <w:right w:val="nil"/>
            </w:tcBorders>
            <w:shd w:val="clear" w:color="000000" w:fill="F2F2F2"/>
            <w:vAlign w:val="center"/>
            <w:hideMark/>
          </w:tcPr>
          <w:p w14:paraId="6F623CAC" w14:textId="77777777" w:rsidR="00EE3A76" w:rsidRPr="00EE3A76" w:rsidRDefault="00EE3A76" w:rsidP="00EE3A76">
            <w:pPr>
              <w:rPr>
                <w:rFonts w:ascii="Morningstar 1" w:eastAsia="Times New Roman" w:hAnsi="Morningstar 1" w:cs="Calibri"/>
                <w:b/>
                <w:bCs/>
                <w:color w:val="000000"/>
                <w:sz w:val="22"/>
                <w:szCs w:val="22"/>
                <w:lang w:val="en-AU" w:eastAsia="en-AU"/>
              </w:rPr>
            </w:pPr>
            <w:r w:rsidRPr="00EE3A76">
              <w:rPr>
                <w:rFonts w:ascii="Morningstar 1" w:eastAsia="Times New Roman" w:hAnsi="Morningstar 1" w:cs="Calibri"/>
                <w:b/>
                <w:bCs/>
                <w:color w:val="000000"/>
                <w:sz w:val="22"/>
                <w:szCs w:val="22"/>
                <w:lang w:eastAsia="en-AU"/>
              </w:rPr>
              <w:t>International Fixed Interest</w:t>
            </w:r>
          </w:p>
        </w:tc>
        <w:tc>
          <w:tcPr>
            <w:tcW w:w="2041" w:type="dxa"/>
            <w:tcBorders>
              <w:top w:val="nil"/>
              <w:left w:val="nil"/>
              <w:bottom w:val="single" w:sz="8" w:space="0" w:color="auto"/>
              <w:right w:val="nil"/>
            </w:tcBorders>
            <w:shd w:val="clear" w:color="000000" w:fill="F2F2F2"/>
            <w:vAlign w:val="center"/>
            <w:hideMark/>
          </w:tcPr>
          <w:p w14:paraId="26BE8101" w14:textId="77777777" w:rsidR="00EE3A76" w:rsidRPr="00EE3A76" w:rsidRDefault="00EE3A76" w:rsidP="00EE3A76">
            <w:pPr>
              <w:jc w:val="center"/>
              <w:rPr>
                <w:rFonts w:ascii="Morningstar 1" w:eastAsia="Times New Roman" w:hAnsi="Morningstar 1" w:cs="Calibri"/>
                <w:b/>
                <w:bCs/>
                <w:color w:val="000000"/>
                <w:sz w:val="22"/>
                <w:szCs w:val="22"/>
                <w:lang w:val="en-AU" w:eastAsia="en-AU"/>
              </w:rPr>
            </w:pPr>
            <w:r w:rsidRPr="00EE3A76">
              <w:rPr>
                <w:rFonts w:ascii="Morningstar 1" w:eastAsia="Times New Roman" w:hAnsi="Morningstar 1" w:cs="Calibri"/>
                <w:b/>
                <w:bCs/>
                <w:color w:val="000000"/>
                <w:sz w:val="22"/>
                <w:szCs w:val="22"/>
                <w:lang w:eastAsia="en-AU"/>
              </w:rPr>
              <w:t> </w:t>
            </w:r>
          </w:p>
        </w:tc>
        <w:tc>
          <w:tcPr>
            <w:tcW w:w="279" w:type="dxa"/>
            <w:vAlign w:val="center"/>
            <w:hideMark/>
          </w:tcPr>
          <w:p w14:paraId="7567DA34" w14:textId="77777777" w:rsidR="00EE3A76" w:rsidRPr="00EE3A76" w:rsidRDefault="00EE3A76" w:rsidP="00EE3A76">
            <w:pPr>
              <w:rPr>
                <w:rFonts w:eastAsia="Times New Roman"/>
                <w:sz w:val="20"/>
                <w:szCs w:val="20"/>
                <w:lang w:val="en-AU" w:eastAsia="en-AU"/>
              </w:rPr>
            </w:pPr>
          </w:p>
        </w:tc>
      </w:tr>
      <w:tr w:rsidR="00EE3A76" w:rsidRPr="00EE3A76" w14:paraId="18EC1A4C" w14:textId="77777777" w:rsidTr="00EE3A76">
        <w:trPr>
          <w:trHeight w:val="297"/>
          <w:jc w:val="center"/>
        </w:trPr>
        <w:tc>
          <w:tcPr>
            <w:tcW w:w="4349" w:type="dxa"/>
            <w:tcBorders>
              <w:top w:val="nil"/>
              <w:left w:val="nil"/>
              <w:bottom w:val="single" w:sz="8" w:space="0" w:color="auto"/>
              <w:right w:val="nil"/>
            </w:tcBorders>
            <w:shd w:val="clear" w:color="auto" w:fill="auto"/>
            <w:noWrap/>
            <w:vAlign w:val="center"/>
            <w:hideMark/>
          </w:tcPr>
          <w:p w14:paraId="057C133B" w14:textId="77777777" w:rsidR="00EE3A76" w:rsidRPr="00EE3A76" w:rsidRDefault="00EE3A76" w:rsidP="00EE3A76">
            <w:pPr>
              <w:rPr>
                <w:rFonts w:ascii="Morningstar 1" w:eastAsia="Times New Roman" w:hAnsi="Morningstar 1" w:cs="Calibri"/>
                <w:color w:val="000000"/>
                <w:sz w:val="22"/>
                <w:szCs w:val="22"/>
                <w:lang w:val="en-AU" w:eastAsia="en-AU"/>
              </w:rPr>
            </w:pPr>
            <w:r w:rsidRPr="00EE3A76">
              <w:rPr>
                <w:rFonts w:ascii="Morningstar 1" w:eastAsia="Times New Roman" w:hAnsi="Morningstar 1" w:cs="Calibri"/>
                <w:color w:val="000000"/>
                <w:sz w:val="22"/>
                <w:szCs w:val="22"/>
                <w:lang w:eastAsia="en-AU"/>
              </w:rPr>
              <w:t>iShares Global Bond Index</w:t>
            </w:r>
          </w:p>
        </w:tc>
        <w:tc>
          <w:tcPr>
            <w:tcW w:w="2041" w:type="dxa"/>
            <w:tcBorders>
              <w:top w:val="nil"/>
              <w:left w:val="nil"/>
              <w:bottom w:val="single" w:sz="8" w:space="0" w:color="auto"/>
              <w:right w:val="nil"/>
            </w:tcBorders>
            <w:shd w:val="clear" w:color="auto" w:fill="auto"/>
            <w:vAlign w:val="center"/>
            <w:hideMark/>
          </w:tcPr>
          <w:p w14:paraId="03FA6540" w14:textId="77777777" w:rsidR="00EE3A76" w:rsidRPr="00EE3A76" w:rsidRDefault="00EE3A76" w:rsidP="00EE3A76">
            <w:pPr>
              <w:jc w:val="center"/>
              <w:rPr>
                <w:rFonts w:ascii="Morningstar 1" w:eastAsia="Times New Roman" w:hAnsi="Morningstar 1" w:cs="Calibri"/>
                <w:b/>
                <w:bCs/>
                <w:color w:val="00B050"/>
                <w:sz w:val="22"/>
                <w:szCs w:val="22"/>
                <w:lang w:val="en-AU" w:eastAsia="en-AU"/>
              </w:rPr>
            </w:pPr>
            <w:r w:rsidRPr="00EE3A76">
              <w:rPr>
                <w:rFonts w:ascii="Morningstar 1" w:eastAsia="Times New Roman" w:hAnsi="Morningstar 1" w:cs="Calibri"/>
                <w:b/>
                <w:bCs/>
                <w:color w:val="00B050"/>
                <w:sz w:val="22"/>
                <w:szCs w:val="22"/>
                <w:lang w:eastAsia="en-AU"/>
              </w:rPr>
              <w:t>Increase</w:t>
            </w:r>
          </w:p>
        </w:tc>
        <w:tc>
          <w:tcPr>
            <w:tcW w:w="279" w:type="dxa"/>
            <w:vAlign w:val="center"/>
            <w:hideMark/>
          </w:tcPr>
          <w:p w14:paraId="380AFF2C" w14:textId="77777777" w:rsidR="00EE3A76" w:rsidRPr="00EE3A76" w:rsidRDefault="00EE3A76" w:rsidP="00EE3A76">
            <w:pPr>
              <w:rPr>
                <w:rFonts w:eastAsia="Times New Roman"/>
                <w:sz w:val="20"/>
                <w:szCs w:val="20"/>
                <w:lang w:val="en-AU" w:eastAsia="en-AU"/>
              </w:rPr>
            </w:pPr>
          </w:p>
        </w:tc>
      </w:tr>
      <w:tr w:rsidR="00EE3A76" w:rsidRPr="00EE3A76" w14:paraId="252F9DE6" w14:textId="77777777" w:rsidTr="00EE3A76">
        <w:trPr>
          <w:trHeight w:val="297"/>
          <w:jc w:val="center"/>
        </w:trPr>
        <w:tc>
          <w:tcPr>
            <w:tcW w:w="4349" w:type="dxa"/>
            <w:tcBorders>
              <w:top w:val="nil"/>
              <w:left w:val="nil"/>
              <w:bottom w:val="single" w:sz="8" w:space="0" w:color="auto"/>
              <w:right w:val="nil"/>
            </w:tcBorders>
            <w:shd w:val="clear" w:color="auto" w:fill="auto"/>
            <w:noWrap/>
            <w:vAlign w:val="center"/>
            <w:hideMark/>
          </w:tcPr>
          <w:p w14:paraId="34B98AE2" w14:textId="77777777" w:rsidR="00EE3A76" w:rsidRPr="00EE3A76" w:rsidRDefault="00EE3A76" w:rsidP="00EE3A76">
            <w:pPr>
              <w:rPr>
                <w:rFonts w:ascii="Morningstar 1" w:eastAsia="Times New Roman" w:hAnsi="Morningstar 1" w:cs="Calibri"/>
                <w:color w:val="000000"/>
                <w:sz w:val="22"/>
                <w:szCs w:val="22"/>
                <w:lang w:val="en-AU" w:eastAsia="en-AU"/>
              </w:rPr>
            </w:pPr>
            <w:r w:rsidRPr="00EE3A76">
              <w:rPr>
                <w:rFonts w:ascii="Morningstar 1" w:eastAsia="Times New Roman" w:hAnsi="Morningstar 1" w:cs="Calibri"/>
                <w:color w:val="000000"/>
                <w:sz w:val="22"/>
                <w:szCs w:val="22"/>
                <w:lang w:eastAsia="en-AU"/>
              </w:rPr>
              <w:t>Bentham Global Income</w:t>
            </w:r>
          </w:p>
        </w:tc>
        <w:tc>
          <w:tcPr>
            <w:tcW w:w="2041" w:type="dxa"/>
            <w:tcBorders>
              <w:top w:val="nil"/>
              <w:left w:val="nil"/>
              <w:bottom w:val="single" w:sz="8" w:space="0" w:color="auto"/>
              <w:right w:val="nil"/>
            </w:tcBorders>
            <w:shd w:val="clear" w:color="auto" w:fill="auto"/>
            <w:vAlign w:val="center"/>
            <w:hideMark/>
          </w:tcPr>
          <w:p w14:paraId="4D11DF8F" w14:textId="77777777" w:rsidR="00EE3A76" w:rsidRPr="00EE3A76" w:rsidRDefault="00EE3A76" w:rsidP="00EE3A76">
            <w:pPr>
              <w:jc w:val="center"/>
              <w:rPr>
                <w:rFonts w:ascii="Morningstar 1" w:eastAsia="Times New Roman" w:hAnsi="Morningstar 1" w:cs="Calibri"/>
                <w:b/>
                <w:bCs/>
                <w:color w:val="00B050"/>
                <w:sz w:val="22"/>
                <w:szCs w:val="22"/>
                <w:lang w:val="en-AU" w:eastAsia="en-AU"/>
              </w:rPr>
            </w:pPr>
            <w:r w:rsidRPr="00EE3A76">
              <w:rPr>
                <w:rFonts w:ascii="Morningstar 1" w:eastAsia="Times New Roman" w:hAnsi="Morningstar 1" w:cs="Calibri"/>
                <w:b/>
                <w:bCs/>
                <w:color w:val="00B050"/>
                <w:sz w:val="22"/>
                <w:szCs w:val="22"/>
                <w:lang w:eastAsia="en-AU"/>
              </w:rPr>
              <w:t>Increase</w:t>
            </w:r>
          </w:p>
        </w:tc>
        <w:tc>
          <w:tcPr>
            <w:tcW w:w="279" w:type="dxa"/>
            <w:vAlign w:val="center"/>
            <w:hideMark/>
          </w:tcPr>
          <w:p w14:paraId="41BA5A86" w14:textId="77777777" w:rsidR="00EE3A76" w:rsidRPr="00EE3A76" w:rsidRDefault="00EE3A76" w:rsidP="00EE3A76">
            <w:pPr>
              <w:rPr>
                <w:rFonts w:eastAsia="Times New Roman"/>
                <w:sz w:val="20"/>
                <w:szCs w:val="20"/>
                <w:lang w:val="en-AU" w:eastAsia="en-AU"/>
              </w:rPr>
            </w:pPr>
          </w:p>
        </w:tc>
      </w:tr>
      <w:tr w:rsidR="00EE3A76" w:rsidRPr="00EE3A76" w14:paraId="08EE6C72" w14:textId="77777777" w:rsidTr="00EE3A76">
        <w:trPr>
          <w:trHeight w:val="297"/>
          <w:jc w:val="center"/>
        </w:trPr>
        <w:tc>
          <w:tcPr>
            <w:tcW w:w="4349" w:type="dxa"/>
            <w:tcBorders>
              <w:top w:val="nil"/>
              <w:left w:val="nil"/>
              <w:bottom w:val="single" w:sz="8" w:space="0" w:color="auto"/>
              <w:right w:val="nil"/>
            </w:tcBorders>
            <w:shd w:val="clear" w:color="000000" w:fill="F2F2F2"/>
            <w:vAlign w:val="center"/>
            <w:hideMark/>
          </w:tcPr>
          <w:p w14:paraId="2EC94484" w14:textId="77777777" w:rsidR="00EE3A76" w:rsidRPr="00EE3A76" w:rsidRDefault="00EE3A76" w:rsidP="00EE3A76">
            <w:pPr>
              <w:rPr>
                <w:rFonts w:ascii="Morningstar 1" w:eastAsia="Times New Roman" w:hAnsi="Morningstar 1" w:cs="Calibri"/>
                <w:b/>
                <w:bCs/>
                <w:color w:val="000000"/>
                <w:sz w:val="22"/>
                <w:szCs w:val="22"/>
                <w:lang w:val="en-AU" w:eastAsia="en-AU"/>
              </w:rPr>
            </w:pPr>
            <w:r w:rsidRPr="00EE3A76">
              <w:rPr>
                <w:rFonts w:ascii="Morningstar 1" w:eastAsia="Times New Roman" w:hAnsi="Morningstar 1" w:cs="Calibri"/>
                <w:b/>
                <w:bCs/>
                <w:color w:val="000000"/>
                <w:sz w:val="22"/>
                <w:szCs w:val="22"/>
                <w:lang w:eastAsia="en-AU"/>
              </w:rPr>
              <w:t>Cash</w:t>
            </w:r>
          </w:p>
        </w:tc>
        <w:tc>
          <w:tcPr>
            <w:tcW w:w="2041" w:type="dxa"/>
            <w:tcBorders>
              <w:top w:val="nil"/>
              <w:left w:val="nil"/>
              <w:bottom w:val="single" w:sz="8" w:space="0" w:color="auto"/>
              <w:right w:val="nil"/>
            </w:tcBorders>
            <w:shd w:val="clear" w:color="000000" w:fill="F2F2F2"/>
            <w:vAlign w:val="center"/>
            <w:hideMark/>
          </w:tcPr>
          <w:p w14:paraId="7A564C20" w14:textId="77777777" w:rsidR="00EE3A76" w:rsidRPr="00EE3A76" w:rsidRDefault="00EE3A76" w:rsidP="00EE3A76">
            <w:pPr>
              <w:jc w:val="center"/>
              <w:rPr>
                <w:rFonts w:ascii="Morningstar 1" w:eastAsia="Times New Roman" w:hAnsi="Morningstar 1" w:cs="Calibri"/>
                <w:b/>
                <w:bCs/>
                <w:color w:val="000000"/>
                <w:sz w:val="22"/>
                <w:szCs w:val="22"/>
                <w:lang w:val="en-AU" w:eastAsia="en-AU"/>
              </w:rPr>
            </w:pPr>
            <w:r w:rsidRPr="00EE3A76">
              <w:rPr>
                <w:rFonts w:ascii="Morningstar 1" w:eastAsia="Times New Roman" w:hAnsi="Morningstar 1" w:cs="Calibri"/>
                <w:b/>
                <w:bCs/>
                <w:color w:val="000000"/>
                <w:sz w:val="22"/>
                <w:szCs w:val="22"/>
                <w:lang w:eastAsia="en-AU"/>
              </w:rPr>
              <w:t> </w:t>
            </w:r>
          </w:p>
        </w:tc>
        <w:tc>
          <w:tcPr>
            <w:tcW w:w="279" w:type="dxa"/>
            <w:vAlign w:val="center"/>
            <w:hideMark/>
          </w:tcPr>
          <w:p w14:paraId="5BB34F1A" w14:textId="77777777" w:rsidR="00EE3A76" w:rsidRPr="00EE3A76" w:rsidRDefault="00EE3A76" w:rsidP="00EE3A76">
            <w:pPr>
              <w:rPr>
                <w:rFonts w:eastAsia="Times New Roman"/>
                <w:sz w:val="20"/>
                <w:szCs w:val="20"/>
                <w:lang w:val="en-AU" w:eastAsia="en-AU"/>
              </w:rPr>
            </w:pPr>
          </w:p>
        </w:tc>
      </w:tr>
      <w:tr w:rsidR="00EE3A76" w:rsidRPr="00EE3A76" w14:paraId="1B995CAB" w14:textId="77777777" w:rsidTr="00EE3A76">
        <w:trPr>
          <w:trHeight w:val="297"/>
          <w:jc w:val="center"/>
        </w:trPr>
        <w:tc>
          <w:tcPr>
            <w:tcW w:w="4349" w:type="dxa"/>
            <w:tcBorders>
              <w:top w:val="nil"/>
              <w:left w:val="nil"/>
              <w:bottom w:val="single" w:sz="8" w:space="0" w:color="auto"/>
              <w:right w:val="nil"/>
            </w:tcBorders>
            <w:shd w:val="clear" w:color="auto" w:fill="auto"/>
            <w:noWrap/>
            <w:vAlign w:val="center"/>
            <w:hideMark/>
          </w:tcPr>
          <w:p w14:paraId="3DC2F647" w14:textId="77777777" w:rsidR="00EE3A76" w:rsidRPr="00EE3A76" w:rsidRDefault="00EE3A76" w:rsidP="00EE3A76">
            <w:pPr>
              <w:rPr>
                <w:rFonts w:ascii="Morningstar 1" w:eastAsia="Times New Roman" w:hAnsi="Morningstar 1" w:cs="Calibri"/>
                <w:color w:val="000000"/>
                <w:sz w:val="22"/>
                <w:szCs w:val="22"/>
                <w:lang w:val="en-AU" w:eastAsia="en-AU"/>
              </w:rPr>
            </w:pPr>
            <w:r w:rsidRPr="00EE3A76">
              <w:rPr>
                <w:rFonts w:ascii="Morningstar 1" w:eastAsia="Times New Roman" w:hAnsi="Morningstar 1" w:cs="Calibri"/>
                <w:color w:val="000000"/>
                <w:sz w:val="22"/>
                <w:szCs w:val="22"/>
                <w:lang w:eastAsia="en-AU"/>
              </w:rPr>
              <w:t>iShares Core Cash ETF</w:t>
            </w:r>
          </w:p>
        </w:tc>
        <w:tc>
          <w:tcPr>
            <w:tcW w:w="2041" w:type="dxa"/>
            <w:tcBorders>
              <w:top w:val="nil"/>
              <w:left w:val="nil"/>
              <w:bottom w:val="single" w:sz="8" w:space="0" w:color="auto"/>
              <w:right w:val="nil"/>
            </w:tcBorders>
            <w:shd w:val="clear" w:color="auto" w:fill="auto"/>
            <w:vAlign w:val="center"/>
            <w:hideMark/>
          </w:tcPr>
          <w:p w14:paraId="7B6EE9B7" w14:textId="77777777" w:rsidR="00EE3A76" w:rsidRPr="00EE3A76" w:rsidRDefault="00EE3A76" w:rsidP="00EE3A76">
            <w:pPr>
              <w:jc w:val="center"/>
              <w:rPr>
                <w:rFonts w:ascii="Morningstar 1" w:eastAsia="Times New Roman" w:hAnsi="Morningstar 1" w:cs="Calibri"/>
                <w:b/>
                <w:bCs/>
                <w:color w:val="FF0000"/>
                <w:sz w:val="22"/>
                <w:szCs w:val="22"/>
                <w:lang w:val="en-AU" w:eastAsia="en-AU"/>
              </w:rPr>
            </w:pPr>
            <w:r w:rsidRPr="00EE3A76">
              <w:rPr>
                <w:rFonts w:ascii="Morningstar 1" w:eastAsia="Times New Roman" w:hAnsi="Morningstar 1" w:cs="Calibri"/>
                <w:b/>
                <w:bCs/>
                <w:color w:val="FF0000"/>
                <w:sz w:val="22"/>
                <w:szCs w:val="22"/>
                <w:lang w:eastAsia="en-AU"/>
              </w:rPr>
              <w:t>Decrease</w:t>
            </w:r>
          </w:p>
        </w:tc>
        <w:tc>
          <w:tcPr>
            <w:tcW w:w="279" w:type="dxa"/>
            <w:vAlign w:val="center"/>
            <w:hideMark/>
          </w:tcPr>
          <w:p w14:paraId="69090F35" w14:textId="77777777" w:rsidR="00EE3A76" w:rsidRPr="00EE3A76" w:rsidRDefault="00EE3A76" w:rsidP="00EE3A76">
            <w:pPr>
              <w:rPr>
                <w:rFonts w:eastAsia="Times New Roman"/>
                <w:sz w:val="20"/>
                <w:szCs w:val="20"/>
                <w:lang w:val="en-AU" w:eastAsia="en-AU"/>
              </w:rPr>
            </w:pPr>
          </w:p>
        </w:tc>
      </w:tr>
    </w:tbl>
    <w:p w14:paraId="452E9099" w14:textId="77777777" w:rsidR="000C1130" w:rsidRPr="009C6816" w:rsidRDefault="000C1130" w:rsidP="000C1130">
      <w:pPr>
        <w:rPr>
          <w:rFonts w:ascii="Morningstar 1" w:hAnsi="Morningstar 1"/>
          <w:sz w:val="22"/>
          <w:szCs w:val="22"/>
        </w:rPr>
      </w:pPr>
    </w:p>
    <w:p w14:paraId="28057677" w14:textId="42EEB8CD" w:rsidR="001123E7" w:rsidRDefault="001123E7" w:rsidP="001123E7">
      <w:pPr>
        <w:rPr>
          <w:rFonts w:ascii="Morningstar 1" w:hAnsi="Morningstar 1" w:cs="Morningstar1Light"/>
          <w:sz w:val="22"/>
          <w:szCs w:val="22"/>
        </w:rPr>
      </w:pPr>
      <w:r>
        <w:rPr>
          <w:rFonts w:ascii="Morningstar 1" w:hAnsi="Morningstar 1" w:cs="Morningstar1Light"/>
          <w:sz w:val="22"/>
          <w:szCs w:val="22"/>
        </w:rPr>
        <w:t>Your</w:t>
      </w:r>
      <w:r w:rsidRPr="009C6816">
        <w:rPr>
          <w:rFonts w:ascii="Morningstar 1" w:hAnsi="Morningstar 1" w:cs="Morningstar1Light"/>
          <w:sz w:val="22"/>
          <w:szCs w:val="22"/>
        </w:rPr>
        <w:t xml:space="preserve"> portfolio maintains a slight overweight to </w:t>
      </w:r>
      <w:r w:rsidR="006F6FF2">
        <w:rPr>
          <w:rFonts w:ascii="Morningstar 1" w:hAnsi="Morningstar 1" w:cs="Morningstar1Light"/>
          <w:sz w:val="22"/>
          <w:szCs w:val="22"/>
        </w:rPr>
        <w:t xml:space="preserve">defensive assets </w:t>
      </w:r>
      <w:r w:rsidRPr="009C6816">
        <w:rPr>
          <w:rFonts w:ascii="Morningstar 1" w:hAnsi="Morningstar 1" w:cs="Morningstar1Light"/>
          <w:sz w:val="22"/>
          <w:szCs w:val="22"/>
        </w:rPr>
        <w:t xml:space="preserve">relative to growth assets, with a skew that is in line with </w:t>
      </w:r>
      <w:r w:rsidRPr="7F0968CE">
        <w:rPr>
          <w:rFonts w:ascii="Morningstar 1" w:hAnsi="Morningstar 1" w:cs="Morningstar1Light"/>
          <w:sz w:val="22"/>
          <w:szCs w:val="22"/>
        </w:rPr>
        <w:t>recent</w:t>
      </w:r>
      <w:r w:rsidRPr="009C6816">
        <w:rPr>
          <w:rFonts w:ascii="Morningstar 1" w:hAnsi="Morningstar 1" w:cs="Morningstar1Light"/>
          <w:sz w:val="22"/>
          <w:szCs w:val="22"/>
        </w:rPr>
        <w:t xml:space="preserve"> portfolio changes. The positioning reflects </w:t>
      </w:r>
      <w:r>
        <w:rPr>
          <w:rFonts w:ascii="Morningstar 1" w:hAnsi="Morningstar 1" w:cs="Morningstar1Light"/>
          <w:sz w:val="22"/>
          <w:szCs w:val="22"/>
        </w:rPr>
        <w:t>Morningstar’s</w:t>
      </w:r>
      <w:r w:rsidRPr="009C6816">
        <w:rPr>
          <w:rFonts w:ascii="Morningstar 1" w:hAnsi="Morningstar 1" w:cs="Morningstar1Light"/>
          <w:sz w:val="22"/>
          <w:szCs w:val="22"/>
        </w:rPr>
        <w:t xml:space="preserve"> view of relative valuations and recent equity market strength.</w:t>
      </w:r>
    </w:p>
    <w:p w14:paraId="749E7324" w14:textId="77777777" w:rsidR="001123E7" w:rsidRPr="001E51D6" w:rsidRDefault="001123E7" w:rsidP="001123E7">
      <w:pPr>
        <w:pStyle w:val="ListParagraph"/>
        <w:spacing w:after="120"/>
        <w:ind w:left="0"/>
        <w:jc w:val="both"/>
        <w:rPr>
          <w:rFonts w:ascii="Morningstar 1" w:hAnsi="Morningstar 1"/>
        </w:rPr>
      </w:pPr>
    </w:p>
    <w:p w14:paraId="7DB429F4" w14:textId="19342F13" w:rsidR="001123E7" w:rsidRDefault="1B2B4E6B" w:rsidP="001123E7">
      <w:pPr>
        <w:pStyle w:val="ListParagraph"/>
        <w:spacing w:after="120"/>
        <w:ind w:left="0"/>
        <w:jc w:val="both"/>
        <w:rPr>
          <w:rFonts w:ascii="Morningstar 1" w:hAnsi="Morningstar 1"/>
        </w:rPr>
      </w:pPr>
      <w:r w:rsidRPr="648E39AF">
        <w:rPr>
          <w:rFonts w:ascii="Morningstar 1" w:hAnsi="Morningstar 1"/>
        </w:rPr>
        <w:t>Regarding fixed interest, Morningstar has slightly reduced the Vanguard Australian Fixed Interest Index while</w:t>
      </w:r>
      <w:r w:rsidR="2AD0D1B9" w:rsidRPr="648E39AF">
        <w:rPr>
          <w:rFonts w:ascii="Morningstar 1" w:hAnsi="Morningstar 1"/>
        </w:rPr>
        <w:t xml:space="preserve"> still</w:t>
      </w:r>
      <w:r w:rsidRPr="648E39AF">
        <w:rPr>
          <w:rFonts w:ascii="Morningstar 1" w:hAnsi="Morningstar 1"/>
        </w:rPr>
        <w:t xml:space="preserve"> maintaining a mild overweight in Australian fixed interest. Similarly, global fixed interest positions have been increased to take advantage of attractive yields and diversify the equity market.</w:t>
      </w:r>
    </w:p>
    <w:p w14:paraId="03BA7BD7" w14:textId="77777777" w:rsidR="001123E7" w:rsidRPr="001E51D6" w:rsidRDefault="001123E7" w:rsidP="001123E7">
      <w:pPr>
        <w:pStyle w:val="ListParagraph"/>
        <w:spacing w:after="120"/>
        <w:ind w:left="0"/>
        <w:jc w:val="both"/>
        <w:rPr>
          <w:rFonts w:ascii="Morningstar 1" w:hAnsi="Morningstar 1"/>
        </w:rPr>
      </w:pPr>
    </w:p>
    <w:p w14:paraId="16F19BDB" w14:textId="13E6EF8D" w:rsidR="001123E7" w:rsidRDefault="1B2B4E6B" w:rsidP="5CF6815B">
      <w:pPr>
        <w:pStyle w:val="ListParagraph"/>
        <w:spacing w:after="120"/>
        <w:ind w:left="0"/>
        <w:rPr>
          <w:rFonts w:ascii="Morningstar 1" w:hAnsi="Morningstar 1"/>
        </w:rPr>
      </w:pPr>
      <w:r w:rsidRPr="648E39AF">
        <w:rPr>
          <w:rFonts w:ascii="Morningstar 1" w:hAnsi="Morningstar 1"/>
        </w:rPr>
        <w:t xml:space="preserve">Morningstar's preference for </w:t>
      </w:r>
      <w:r w:rsidR="1CE3A96D" w:rsidRPr="648E39AF">
        <w:rPr>
          <w:rFonts w:ascii="Morningstar 1" w:hAnsi="Morningstar 1"/>
        </w:rPr>
        <w:t>global over domestic equities</w:t>
      </w:r>
      <w:r w:rsidR="43A69C5E" w:rsidRPr="648E39AF">
        <w:rPr>
          <w:rFonts w:ascii="Morningstar 1" w:hAnsi="Morningstar 1"/>
        </w:rPr>
        <w:t xml:space="preserve"> </w:t>
      </w:r>
      <w:r w:rsidRPr="648E39AF">
        <w:rPr>
          <w:rFonts w:ascii="Morningstar 1" w:hAnsi="Morningstar 1"/>
        </w:rPr>
        <w:t xml:space="preserve">persists, contributing to the </w:t>
      </w:r>
      <w:r w:rsidR="4C7F40C3" w:rsidRPr="648E39AF">
        <w:rPr>
          <w:rFonts w:ascii="Morningstar 1" w:hAnsi="Morningstar 1"/>
        </w:rPr>
        <w:t xml:space="preserve">sector </w:t>
      </w:r>
      <w:r w:rsidRPr="648E39AF">
        <w:rPr>
          <w:rFonts w:ascii="Morningstar 1" w:hAnsi="Morningstar 1"/>
        </w:rPr>
        <w:t>diversification of your portfolio. Although overall exposure to equities has been increased</w:t>
      </w:r>
      <w:r w:rsidR="2DB11706" w:rsidRPr="648E39AF">
        <w:rPr>
          <w:rFonts w:ascii="Morningstar 1" w:hAnsi="Morningstar 1"/>
        </w:rPr>
        <w:t xml:space="preserve"> as part of the new SAA</w:t>
      </w:r>
      <w:r w:rsidRPr="648E39AF">
        <w:rPr>
          <w:rFonts w:ascii="Morningstar 1" w:hAnsi="Morningstar 1"/>
        </w:rPr>
        <w:t xml:space="preserve">, </w:t>
      </w:r>
      <w:r w:rsidR="48E1CBB1" w:rsidRPr="648E39AF">
        <w:rPr>
          <w:rFonts w:ascii="Morningstar 1" w:hAnsi="Morningstar 1"/>
        </w:rPr>
        <w:t xml:space="preserve">stock </w:t>
      </w:r>
      <w:r w:rsidRPr="648E39AF">
        <w:rPr>
          <w:rFonts w:ascii="Morningstar 1" w:hAnsi="Morningstar 1"/>
        </w:rPr>
        <w:t xml:space="preserve">allocations are </w:t>
      </w:r>
      <w:r w:rsidR="0016237E">
        <w:rPr>
          <w:rFonts w:ascii="Morningstar 1" w:hAnsi="Morningstar 1"/>
        </w:rPr>
        <w:t>more diversified</w:t>
      </w:r>
      <w:r w:rsidRPr="648E39AF">
        <w:rPr>
          <w:rFonts w:ascii="Morningstar 1" w:hAnsi="Morningstar 1"/>
        </w:rPr>
        <w:t xml:space="preserve"> due to prevailing high valuations</w:t>
      </w:r>
      <w:r w:rsidR="64CC1BB9" w:rsidRPr="648E39AF">
        <w:rPr>
          <w:rFonts w:ascii="Morningstar 1" w:hAnsi="Morningstar 1"/>
        </w:rPr>
        <w:t xml:space="preserve"> of the market</w:t>
      </w:r>
      <w:r w:rsidRPr="648E39AF">
        <w:rPr>
          <w:rFonts w:ascii="Morningstar 1" w:hAnsi="Morningstar 1"/>
        </w:rPr>
        <w:t xml:space="preserve">. </w:t>
      </w:r>
    </w:p>
    <w:p w14:paraId="2B0279A7" w14:textId="351553BC" w:rsidR="001123E7" w:rsidRDefault="001123E7" w:rsidP="5CF6815B">
      <w:pPr>
        <w:pStyle w:val="ListParagraph"/>
        <w:spacing w:after="120"/>
        <w:ind w:left="0"/>
        <w:rPr>
          <w:rFonts w:ascii="Morningstar 1" w:hAnsi="Morningstar 1"/>
        </w:rPr>
      </w:pPr>
    </w:p>
    <w:p w14:paraId="242DA6DF" w14:textId="49B43B4E" w:rsidR="001123E7" w:rsidRDefault="001123E7" w:rsidP="001123E7">
      <w:pPr>
        <w:pStyle w:val="ListParagraph"/>
        <w:spacing w:after="120"/>
        <w:ind w:left="0"/>
        <w:rPr>
          <w:rFonts w:ascii="Morningstar 1" w:hAnsi="Morningstar 1"/>
        </w:rPr>
      </w:pPr>
      <w:r w:rsidRPr="00036D1B">
        <w:rPr>
          <w:rFonts w:ascii="Morningstar 1" w:hAnsi="Morningstar 1"/>
        </w:rPr>
        <w:t xml:space="preserve">Your investments in property and infrastructure have been </w:t>
      </w:r>
      <w:r w:rsidR="0016237E">
        <w:rPr>
          <w:rFonts w:ascii="Morningstar 1" w:hAnsi="Morningstar 1"/>
        </w:rPr>
        <w:t>adjusted</w:t>
      </w:r>
      <w:r w:rsidRPr="00036D1B">
        <w:rPr>
          <w:rFonts w:ascii="Morningstar 1" w:hAnsi="Morningstar 1"/>
        </w:rPr>
        <w:t>, with some reductions made while maintaining a prudent level of exposure to capitalise on current opportunities.</w:t>
      </w:r>
    </w:p>
    <w:p w14:paraId="017C68AC" w14:textId="28DD1FC5" w:rsidR="00253B97" w:rsidRPr="009C6816" w:rsidRDefault="00253B97" w:rsidP="00253B97">
      <w:pPr>
        <w:spacing w:after="120"/>
        <w:rPr>
          <w:rFonts w:ascii="Morningstar 1" w:eastAsia="Calibri" w:hAnsi="Morningstar 1"/>
          <w:sz w:val="22"/>
          <w:szCs w:val="22"/>
        </w:rPr>
      </w:pPr>
      <w:r w:rsidRPr="009C6816">
        <w:rPr>
          <w:rFonts w:ascii="Morningstar 1" w:eastAsia="Calibri" w:hAnsi="Morningstar 1"/>
          <w:sz w:val="22"/>
          <w:szCs w:val="22"/>
        </w:rPr>
        <w:t>As always, please let me know if you have any questions or if I can be of any assistance.</w:t>
      </w:r>
    </w:p>
    <w:p w14:paraId="7A8CDBAD" w14:textId="77777777" w:rsidR="00EB05C2" w:rsidRPr="009C6816" w:rsidRDefault="00EB05C2" w:rsidP="00EB05C2">
      <w:pPr>
        <w:rPr>
          <w:rFonts w:ascii="Morningstar 1" w:eastAsia="Calibri" w:hAnsi="Morningstar 1"/>
          <w:sz w:val="22"/>
          <w:szCs w:val="22"/>
        </w:rPr>
      </w:pPr>
    </w:p>
    <w:p w14:paraId="087F7DBD" w14:textId="77777777" w:rsidR="00814763" w:rsidRDefault="00EB05C2" w:rsidP="00B72C69">
      <w:pPr>
        <w:spacing w:after="120"/>
        <w:rPr>
          <w:rFonts w:ascii="Morningstar 1" w:eastAsia="Calibri" w:hAnsi="Morningstar 1"/>
          <w:sz w:val="22"/>
          <w:szCs w:val="22"/>
        </w:rPr>
      </w:pPr>
      <w:r w:rsidRPr="009C6816">
        <w:rPr>
          <w:rFonts w:ascii="Morningstar 1" w:eastAsia="Calibri" w:hAnsi="Morningstar 1"/>
          <w:sz w:val="22"/>
          <w:szCs w:val="22"/>
        </w:rPr>
        <w:t>Regards</w:t>
      </w:r>
      <w:r w:rsidR="001E223E" w:rsidRPr="009C6816">
        <w:rPr>
          <w:rFonts w:ascii="Morningstar 1" w:eastAsia="Calibri" w:hAnsi="Morningstar 1"/>
          <w:sz w:val="22"/>
          <w:szCs w:val="22"/>
        </w:rPr>
        <w:t>,</w:t>
      </w:r>
    </w:p>
    <w:p w14:paraId="4CF71AA2" w14:textId="1E0764F3" w:rsidR="00EB05C2" w:rsidRPr="009C6816" w:rsidRDefault="00EB05C2" w:rsidP="00B72C69">
      <w:pPr>
        <w:spacing w:after="120"/>
        <w:rPr>
          <w:rFonts w:ascii="Morningstar 1" w:eastAsia="Calibri" w:hAnsi="Morningstar 1"/>
          <w:sz w:val="22"/>
          <w:szCs w:val="22"/>
        </w:rPr>
      </w:pPr>
      <w:r w:rsidRPr="009C6816">
        <w:rPr>
          <w:rFonts w:ascii="Morningstar 1" w:eastAsia="Calibri" w:hAnsi="Morningstar 1"/>
          <w:sz w:val="22"/>
          <w:szCs w:val="22"/>
        </w:rPr>
        <w:t>Adviser</w:t>
      </w:r>
    </w:p>
    <w:p w14:paraId="38A883AA" w14:textId="6A91D49D" w:rsidR="00E14889" w:rsidRPr="009C6816" w:rsidRDefault="00E14889" w:rsidP="04745BEB">
      <w:pPr>
        <w:spacing w:after="120" w:line="259" w:lineRule="auto"/>
        <w:rPr>
          <w:rFonts w:ascii="Morningstar 1" w:eastAsia="Calibri" w:hAnsi="Morningstar 1"/>
          <w:b/>
          <w:bCs/>
          <w:color w:val="FF0000"/>
          <w:sz w:val="22"/>
          <w:szCs w:val="22"/>
        </w:rPr>
      </w:pPr>
      <w:r w:rsidRPr="009C6816">
        <w:rPr>
          <w:rFonts w:ascii="Morningstar 1" w:eastAsia="Calibri" w:hAnsi="Morningstar 1"/>
          <w:b/>
          <w:bCs/>
          <w:color w:val="FF0000"/>
          <w:sz w:val="22"/>
          <w:szCs w:val="22"/>
        </w:rPr>
        <w:lastRenderedPageBreak/>
        <w:t>Moderate</w:t>
      </w:r>
    </w:p>
    <w:p w14:paraId="6B10F7B6" w14:textId="77777777" w:rsidR="00484249" w:rsidRPr="009C6816" w:rsidRDefault="00484249">
      <w:pPr>
        <w:spacing w:after="120" w:line="259" w:lineRule="auto"/>
        <w:rPr>
          <w:rFonts w:ascii="Morningstar 1" w:eastAsia="Calibri" w:hAnsi="Morningstar 1"/>
          <w:sz w:val="22"/>
          <w:szCs w:val="22"/>
        </w:rPr>
      </w:pPr>
      <w:r w:rsidRPr="009C6816">
        <w:rPr>
          <w:rFonts w:ascii="Morningstar 1" w:eastAsia="Calibri" w:hAnsi="Morningstar 1"/>
          <w:sz w:val="22"/>
          <w:szCs w:val="22"/>
        </w:rPr>
        <w:t>Dear Client,</w:t>
      </w:r>
    </w:p>
    <w:p w14:paraId="48367640" w14:textId="69781FE3" w:rsidR="00AC11E2" w:rsidRPr="009C6816" w:rsidRDefault="002F762E" w:rsidP="00332D7C">
      <w:pPr>
        <w:pStyle w:val="ListParagraph"/>
        <w:spacing w:after="120"/>
        <w:ind w:left="0"/>
        <w:contextualSpacing w:val="0"/>
        <w:rPr>
          <w:rFonts w:ascii="Morningstar 1" w:hAnsi="Morningstar 1"/>
          <w:lang w:val="en-AU"/>
        </w:rPr>
      </w:pPr>
      <w:r w:rsidRPr="002F762E">
        <w:rPr>
          <w:rFonts w:ascii="Morningstar 1" w:hAnsi="Morningstar 1"/>
          <w:lang w:val="en-AU"/>
        </w:rPr>
        <w:t xml:space="preserve">Morningstar has updated the Morningstar Medalist Core Portfolios in April. These changes aim to reflect </w:t>
      </w:r>
      <w:r w:rsidR="006107F8">
        <w:rPr>
          <w:rFonts w:ascii="Morningstar 1" w:hAnsi="Morningstar 1"/>
          <w:lang w:val="en-AU"/>
        </w:rPr>
        <w:t>their</w:t>
      </w:r>
      <w:r w:rsidRPr="002F762E">
        <w:rPr>
          <w:rFonts w:ascii="Morningstar 1" w:hAnsi="Morningstar 1"/>
          <w:lang w:val="en-AU"/>
        </w:rPr>
        <w:t xml:space="preserve"> top ideas in terms of asset allocation, manager selection, and manager allocation. </w:t>
      </w:r>
    </w:p>
    <w:p w14:paraId="4DE910B8" w14:textId="77777777" w:rsidR="00484249" w:rsidRPr="009C6816" w:rsidRDefault="00484249" w:rsidP="00484249">
      <w:pPr>
        <w:pStyle w:val="ListParagraph"/>
        <w:spacing w:after="120"/>
        <w:ind w:left="0"/>
        <w:contextualSpacing w:val="0"/>
        <w:rPr>
          <w:rFonts w:ascii="Morningstar 1" w:eastAsia="Calibri" w:hAnsi="Morningstar 1"/>
        </w:rPr>
      </w:pPr>
      <w:r w:rsidRPr="009C6816">
        <w:rPr>
          <w:rFonts w:ascii="Morningstar 1" w:eastAsia="Calibri" w:hAnsi="Morningstar 1"/>
        </w:rPr>
        <w:t xml:space="preserve">I have summarised these trades below: </w:t>
      </w:r>
    </w:p>
    <w:tbl>
      <w:tblPr>
        <w:tblW w:w="6600" w:type="dxa"/>
        <w:jc w:val="center"/>
        <w:tblLook w:val="04A0" w:firstRow="1" w:lastRow="0" w:firstColumn="1" w:lastColumn="0" w:noHBand="0" w:noVBand="1"/>
      </w:tblPr>
      <w:tblGrid>
        <w:gridCol w:w="3647"/>
        <w:gridCol w:w="2721"/>
        <w:gridCol w:w="232"/>
      </w:tblGrid>
      <w:tr w:rsidR="00E231C5" w:rsidRPr="00E231C5" w14:paraId="612A8C4C" w14:textId="77777777" w:rsidTr="00E231C5">
        <w:trPr>
          <w:gridAfter w:val="1"/>
          <w:wAfter w:w="232" w:type="dxa"/>
          <w:trHeight w:val="464"/>
          <w:jc w:val="center"/>
        </w:trPr>
        <w:tc>
          <w:tcPr>
            <w:tcW w:w="3647" w:type="dxa"/>
            <w:vMerge w:val="restart"/>
            <w:tcBorders>
              <w:top w:val="single" w:sz="8" w:space="0" w:color="auto"/>
              <w:left w:val="nil"/>
              <w:bottom w:val="nil"/>
              <w:right w:val="nil"/>
            </w:tcBorders>
            <w:shd w:val="clear" w:color="000000" w:fill="D9D9D9"/>
            <w:vAlign w:val="center"/>
            <w:hideMark/>
          </w:tcPr>
          <w:p w14:paraId="6105B731" w14:textId="77777777" w:rsidR="00E231C5" w:rsidRPr="00E231C5" w:rsidRDefault="00E231C5" w:rsidP="00E231C5">
            <w:pPr>
              <w:rPr>
                <w:rFonts w:ascii="Morningstar 1" w:eastAsia="Times New Roman" w:hAnsi="Morningstar 1" w:cs="Calibri"/>
                <w:b/>
                <w:bCs/>
                <w:color w:val="000000"/>
                <w:sz w:val="22"/>
                <w:szCs w:val="22"/>
                <w:lang w:val="en-AU" w:eastAsia="en-AU"/>
              </w:rPr>
            </w:pPr>
            <w:r w:rsidRPr="00E231C5">
              <w:rPr>
                <w:rFonts w:ascii="Morningstar 1" w:eastAsia="Times New Roman" w:hAnsi="Morningstar 1" w:cs="Calibri"/>
                <w:b/>
                <w:bCs/>
                <w:color w:val="000000"/>
                <w:sz w:val="22"/>
                <w:szCs w:val="22"/>
                <w:lang w:eastAsia="en-AU"/>
              </w:rPr>
              <w:t xml:space="preserve">Security </w:t>
            </w:r>
          </w:p>
        </w:tc>
        <w:tc>
          <w:tcPr>
            <w:tcW w:w="2721" w:type="dxa"/>
            <w:vMerge w:val="restart"/>
            <w:tcBorders>
              <w:top w:val="single" w:sz="8" w:space="0" w:color="auto"/>
              <w:left w:val="nil"/>
              <w:bottom w:val="nil"/>
              <w:right w:val="nil"/>
            </w:tcBorders>
            <w:shd w:val="clear" w:color="000000" w:fill="D9D9D9"/>
            <w:vAlign w:val="center"/>
            <w:hideMark/>
          </w:tcPr>
          <w:p w14:paraId="3351B8C7" w14:textId="77777777" w:rsidR="00E231C5" w:rsidRPr="00E231C5" w:rsidRDefault="00E231C5" w:rsidP="00E231C5">
            <w:pPr>
              <w:jc w:val="center"/>
              <w:rPr>
                <w:rFonts w:ascii="Morningstar 1" w:eastAsia="Times New Roman" w:hAnsi="Morningstar 1" w:cs="Calibri"/>
                <w:b/>
                <w:bCs/>
                <w:color w:val="000000"/>
                <w:sz w:val="22"/>
                <w:szCs w:val="22"/>
                <w:lang w:val="en-AU" w:eastAsia="en-AU"/>
              </w:rPr>
            </w:pPr>
            <w:r w:rsidRPr="00E231C5">
              <w:rPr>
                <w:rFonts w:ascii="Morningstar 1" w:eastAsia="Times New Roman" w:hAnsi="Morningstar 1" w:cs="Calibri"/>
                <w:b/>
                <w:bCs/>
                <w:color w:val="000000"/>
                <w:sz w:val="22"/>
                <w:szCs w:val="22"/>
                <w:lang w:eastAsia="en-AU"/>
              </w:rPr>
              <w:t xml:space="preserve">Portfolio Action </w:t>
            </w:r>
          </w:p>
        </w:tc>
      </w:tr>
      <w:tr w:rsidR="00E231C5" w:rsidRPr="00E231C5" w14:paraId="26EF8FAE" w14:textId="77777777" w:rsidTr="00E231C5">
        <w:trPr>
          <w:trHeight w:val="60"/>
          <w:jc w:val="center"/>
        </w:trPr>
        <w:tc>
          <w:tcPr>
            <w:tcW w:w="3647" w:type="dxa"/>
            <w:vMerge/>
            <w:tcBorders>
              <w:top w:val="single" w:sz="8" w:space="0" w:color="auto"/>
              <w:left w:val="nil"/>
              <w:bottom w:val="nil"/>
              <w:right w:val="nil"/>
            </w:tcBorders>
            <w:vAlign w:val="center"/>
            <w:hideMark/>
          </w:tcPr>
          <w:p w14:paraId="38552FED" w14:textId="77777777" w:rsidR="00E231C5" w:rsidRPr="00E231C5" w:rsidRDefault="00E231C5" w:rsidP="00E231C5">
            <w:pPr>
              <w:rPr>
                <w:rFonts w:ascii="Morningstar 1" w:eastAsia="Times New Roman" w:hAnsi="Morningstar 1" w:cs="Calibri"/>
                <w:b/>
                <w:bCs/>
                <w:color w:val="000000"/>
                <w:sz w:val="22"/>
                <w:szCs w:val="22"/>
                <w:lang w:val="en-AU" w:eastAsia="en-AU"/>
              </w:rPr>
            </w:pPr>
          </w:p>
        </w:tc>
        <w:tc>
          <w:tcPr>
            <w:tcW w:w="2721" w:type="dxa"/>
            <w:vMerge/>
            <w:tcBorders>
              <w:top w:val="single" w:sz="8" w:space="0" w:color="auto"/>
              <w:left w:val="nil"/>
              <w:bottom w:val="nil"/>
              <w:right w:val="nil"/>
            </w:tcBorders>
            <w:vAlign w:val="center"/>
            <w:hideMark/>
          </w:tcPr>
          <w:p w14:paraId="371C7BA7" w14:textId="77777777" w:rsidR="00E231C5" w:rsidRPr="00E231C5" w:rsidRDefault="00E231C5" w:rsidP="00E231C5">
            <w:pPr>
              <w:rPr>
                <w:rFonts w:ascii="Morningstar 1" w:eastAsia="Times New Roman" w:hAnsi="Morningstar 1" w:cs="Calibri"/>
                <w:b/>
                <w:bCs/>
                <w:color w:val="000000"/>
                <w:sz w:val="22"/>
                <w:szCs w:val="22"/>
                <w:lang w:val="en-AU" w:eastAsia="en-AU"/>
              </w:rPr>
            </w:pPr>
          </w:p>
        </w:tc>
        <w:tc>
          <w:tcPr>
            <w:tcW w:w="232" w:type="dxa"/>
            <w:tcBorders>
              <w:top w:val="nil"/>
              <w:left w:val="nil"/>
              <w:bottom w:val="nil"/>
              <w:right w:val="nil"/>
            </w:tcBorders>
            <w:shd w:val="clear" w:color="auto" w:fill="auto"/>
            <w:noWrap/>
            <w:vAlign w:val="bottom"/>
            <w:hideMark/>
          </w:tcPr>
          <w:p w14:paraId="5AC0865D" w14:textId="77777777" w:rsidR="00E231C5" w:rsidRPr="00E231C5" w:rsidRDefault="00E231C5" w:rsidP="00E231C5">
            <w:pPr>
              <w:jc w:val="center"/>
              <w:rPr>
                <w:rFonts w:ascii="Morningstar 1" w:eastAsia="Times New Roman" w:hAnsi="Morningstar 1" w:cs="Calibri"/>
                <w:b/>
                <w:bCs/>
                <w:color w:val="000000"/>
                <w:sz w:val="22"/>
                <w:szCs w:val="22"/>
                <w:lang w:val="en-AU" w:eastAsia="en-AU"/>
              </w:rPr>
            </w:pPr>
          </w:p>
        </w:tc>
      </w:tr>
      <w:tr w:rsidR="00E231C5" w:rsidRPr="00E231C5" w14:paraId="56A465C5" w14:textId="77777777" w:rsidTr="00E231C5">
        <w:trPr>
          <w:trHeight w:val="294"/>
          <w:jc w:val="center"/>
        </w:trPr>
        <w:tc>
          <w:tcPr>
            <w:tcW w:w="3647" w:type="dxa"/>
            <w:tcBorders>
              <w:top w:val="nil"/>
              <w:left w:val="nil"/>
              <w:bottom w:val="single" w:sz="8" w:space="0" w:color="auto"/>
              <w:right w:val="nil"/>
            </w:tcBorders>
            <w:shd w:val="clear" w:color="000000" w:fill="F2F2F2"/>
            <w:vAlign w:val="center"/>
            <w:hideMark/>
          </w:tcPr>
          <w:p w14:paraId="4F67BD48" w14:textId="77777777" w:rsidR="00E231C5" w:rsidRPr="00E231C5" w:rsidRDefault="00E231C5" w:rsidP="00E231C5">
            <w:pPr>
              <w:rPr>
                <w:rFonts w:ascii="Morningstar 1" w:eastAsia="Times New Roman" w:hAnsi="Morningstar 1" w:cs="Calibri"/>
                <w:b/>
                <w:bCs/>
                <w:color w:val="000000"/>
                <w:sz w:val="22"/>
                <w:szCs w:val="22"/>
                <w:lang w:val="en-AU" w:eastAsia="en-AU"/>
              </w:rPr>
            </w:pPr>
            <w:r w:rsidRPr="00E231C5">
              <w:rPr>
                <w:rFonts w:ascii="Morningstar 1" w:eastAsia="Times New Roman" w:hAnsi="Morningstar 1" w:cs="Calibri"/>
                <w:b/>
                <w:bCs/>
                <w:color w:val="000000"/>
                <w:sz w:val="22"/>
                <w:szCs w:val="22"/>
                <w:lang w:eastAsia="en-AU"/>
              </w:rPr>
              <w:t>Australian Shares</w:t>
            </w:r>
          </w:p>
        </w:tc>
        <w:tc>
          <w:tcPr>
            <w:tcW w:w="2721" w:type="dxa"/>
            <w:tcBorders>
              <w:top w:val="nil"/>
              <w:left w:val="nil"/>
              <w:bottom w:val="single" w:sz="8" w:space="0" w:color="auto"/>
              <w:right w:val="nil"/>
            </w:tcBorders>
            <w:shd w:val="clear" w:color="000000" w:fill="F2F2F2"/>
            <w:vAlign w:val="center"/>
            <w:hideMark/>
          </w:tcPr>
          <w:p w14:paraId="59D56067" w14:textId="77777777" w:rsidR="00E231C5" w:rsidRPr="00E231C5" w:rsidRDefault="00E231C5" w:rsidP="00E231C5">
            <w:pPr>
              <w:jc w:val="center"/>
              <w:rPr>
                <w:rFonts w:ascii="Morningstar 1" w:eastAsia="Times New Roman" w:hAnsi="Morningstar 1" w:cs="Calibri"/>
                <w:b/>
                <w:bCs/>
                <w:color w:val="00B050"/>
                <w:sz w:val="22"/>
                <w:szCs w:val="22"/>
                <w:lang w:val="en-AU" w:eastAsia="en-AU"/>
              </w:rPr>
            </w:pPr>
            <w:r w:rsidRPr="00E231C5">
              <w:rPr>
                <w:rFonts w:ascii="Morningstar 1" w:eastAsia="Times New Roman" w:hAnsi="Morningstar 1" w:cs="Calibri"/>
                <w:b/>
                <w:bCs/>
                <w:color w:val="00B050"/>
                <w:sz w:val="22"/>
                <w:szCs w:val="22"/>
                <w:lang w:eastAsia="en-AU"/>
              </w:rPr>
              <w:t> </w:t>
            </w:r>
          </w:p>
        </w:tc>
        <w:tc>
          <w:tcPr>
            <w:tcW w:w="232" w:type="dxa"/>
            <w:vAlign w:val="center"/>
            <w:hideMark/>
          </w:tcPr>
          <w:p w14:paraId="69E022D0" w14:textId="77777777" w:rsidR="00E231C5" w:rsidRPr="00E231C5" w:rsidRDefault="00E231C5" w:rsidP="00E231C5">
            <w:pPr>
              <w:rPr>
                <w:rFonts w:eastAsia="Times New Roman"/>
                <w:sz w:val="20"/>
                <w:szCs w:val="20"/>
                <w:lang w:val="en-AU" w:eastAsia="en-AU"/>
              </w:rPr>
            </w:pPr>
          </w:p>
        </w:tc>
      </w:tr>
      <w:tr w:rsidR="00E231C5" w:rsidRPr="00E231C5" w14:paraId="7AB5E4E4" w14:textId="77777777" w:rsidTr="00E231C5">
        <w:trPr>
          <w:trHeight w:val="294"/>
          <w:jc w:val="center"/>
        </w:trPr>
        <w:tc>
          <w:tcPr>
            <w:tcW w:w="3647" w:type="dxa"/>
            <w:tcBorders>
              <w:top w:val="nil"/>
              <w:left w:val="nil"/>
              <w:bottom w:val="single" w:sz="8" w:space="0" w:color="auto"/>
              <w:right w:val="nil"/>
            </w:tcBorders>
            <w:shd w:val="clear" w:color="auto" w:fill="auto"/>
            <w:noWrap/>
            <w:vAlign w:val="center"/>
            <w:hideMark/>
          </w:tcPr>
          <w:p w14:paraId="7BE11918" w14:textId="77777777" w:rsidR="00E231C5" w:rsidRPr="00E231C5" w:rsidRDefault="00E231C5" w:rsidP="00E231C5">
            <w:pPr>
              <w:rPr>
                <w:rFonts w:ascii="Morningstar 1" w:eastAsia="Times New Roman" w:hAnsi="Morningstar 1" w:cs="Calibri"/>
                <w:color w:val="000000"/>
                <w:sz w:val="22"/>
                <w:szCs w:val="22"/>
                <w:lang w:val="en-AU" w:eastAsia="en-AU"/>
              </w:rPr>
            </w:pPr>
            <w:r w:rsidRPr="00E231C5">
              <w:rPr>
                <w:rFonts w:ascii="Morningstar 1" w:eastAsia="Times New Roman" w:hAnsi="Morningstar 1" w:cs="Calibri"/>
                <w:color w:val="000000"/>
                <w:sz w:val="22"/>
                <w:szCs w:val="22"/>
                <w:lang w:eastAsia="en-AU"/>
              </w:rPr>
              <w:t>Fidelity Australian Equities</w:t>
            </w:r>
          </w:p>
        </w:tc>
        <w:tc>
          <w:tcPr>
            <w:tcW w:w="2721" w:type="dxa"/>
            <w:tcBorders>
              <w:top w:val="nil"/>
              <w:left w:val="nil"/>
              <w:bottom w:val="single" w:sz="8" w:space="0" w:color="auto"/>
              <w:right w:val="nil"/>
            </w:tcBorders>
            <w:shd w:val="clear" w:color="auto" w:fill="auto"/>
            <w:vAlign w:val="center"/>
            <w:hideMark/>
          </w:tcPr>
          <w:p w14:paraId="058CA875" w14:textId="77777777" w:rsidR="00E231C5" w:rsidRPr="00E231C5" w:rsidRDefault="00E231C5" w:rsidP="00E231C5">
            <w:pPr>
              <w:jc w:val="center"/>
              <w:rPr>
                <w:rFonts w:ascii="Morningstar 1" w:eastAsia="Times New Roman" w:hAnsi="Morningstar 1" w:cs="Calibri"/>
                <w:b/>
                <w:bCs/>
                <w:color w:val="FF0000"/>
                <w:sz w:val="22"/>
                <w:szCs w:val="22"/>
                <w:lang w:val="en-AU" w:eastAsia="en-AU"/>
              </w:rPr>
            </w:pPr>
            <w:r w:rsidRPr="00E231C5">
              <w:rPr>
                <w:rFonts w:ascii="Morningstar 1" w:eastAsia="Times New Roman" w:hAnsi="Morningstar 1" w:cs="Calibri"/>
                <w:b/>
                <w:bCs/>
                <w:color w:val="FF0000"/>
                <w:sz w:val="22"/>
                <w:szCs w:val="22"/>
                <w:lang w:eastAsia="en-AU"/>
              </w:rPr>
              <w:t>Decrease</w:t>
            </w:r>
          </w:p>
        </w:tc>
        <w:tc>
          <w:tcPr>
            <w:tcW w:w="232" w:type="dxa"/>
            <w:vAlign w:val="center"/>
            <w:hideMark/>
          </w:tcPr>
          <w:p w14:paraId="00273200" w14:textId="77777777" w:rsidR="00E231C5" w:rsidRPr="00E231C5" w:rsidRDefault="00E231C5" w:rsidP="00E231C5">
            <w:pPr>
              <w:rPr>
                <w:rFonts w:eastAsia="Times New Roman"/>
                <w:sz w:val="20"/>
                <w:szCs w:val="20"/>
                <w:lang w:val="en-AU" w:eastAsia="en-AU"/>
              </w:rPr>
            </w:pPr>
          </w:p>
        </w:tc>
      </w:tr>
      <w:tr w:rsidR="00E231C5" w:rsidRPr="00E231C5" w14:paraId="0A7353BB" w14:textId="77777777" w:rsidTr="00E231C5">
        <w:trPr>
          <w:trHeight w:val="294"/>
          <w:jc w:val="center"/>
        </w:trPr>
        <w:tc>
          <w:tcPr>
            <w:tcW w:w="3647" w:type="dxa"/>
            <w:tcBorders>
              <w:top w:val="nil"/>
              <w:left w:val="nil"/>
              <w:bottom w:val="single" w:sz="8" w:space="0" w:color="auto"/>
              <w:right w:val="nil"/>
            </w:tcBorders>
            <w:shd w:val="clear" w:color="auto" w:fill="auto"/>
            <w:noWrap/>
            <w:vAlign w:val="center"/>
            <w:hideMark/>
          </w:tcPr>
          <w:p w14:paraId="2F1AF631" w14:textId="77777777" w:rsidR="00E231C5" w:rsidRPr="00E231C5" w:rsidRDefault="00E231C5" w:rsidP="00E231C5">
            <w:pPr>
              <w:rPr>
                <w:rFonts w:ascii="Morningstar 1" w:eastAsia="Times New Roman" w:hAnsi="Morningstar 1" w:cs="Calibri"/>
                <w:color w:val="000000"/>
                <w:sz w:val="22"/>
                <w:szCs w:val="22"/>
                <w:lang w:val="en-AU" w:eastAsia="en-AU"/>
              </w:rPr>
            </w:pPr>
            <w:r w:rsidRPr="00E231C5">
              <w:rPr>
                <w:rFonts w:ascii="Morningstar 1" w:eastAsia="Times New Roman" w:hAnsi="Morningstar 1" w:cs="Calibri"/>
                <w:color w:val="000000"/>
                <w:sz w:val="22"/>
                <w:szCs w:val="22"/>
                <w:lang w:eastAsia="en-AU"/>
              </w:rPr>
              <w:t>Schroder WS Australian Equity Fund - WC</w:t>
            </w:r>
          </w:p>
        </w:tc>
        <w:tc>
          <w:tcPr>
            <w:tcW w:w="2721" w:type="dxa"/>
            <w:tcBorders>
              <w:top w:val="nil"/>
              <w:left w:val="nil"/>
              <w:bottom w:val="single" w:sz="8" w:space="0" w:color="auto"/>
              <w:right w:val="nil"/>
            </w:tcBorders>
            <w:shd w:val="clear" w:color="auto" w:fill="auto"/>
            <w:vAlign w:val="center"/>
            <w:hideMark/>
          </w:tcPr>
          <w:p w14:paraId="3863854D" w14:textId="77777777" w:rsidR="00E231C5" w:rsidRPr="00E231C5" w:rsidRDefault="00E231C5" w:rsidP="00E231C5">
            <w:pPr>
              <w:jc w:val="center"/>
              <w:rPr>
                <w:rFonts w:ascii="Morningstar 1" w:eastAsia="Times New Roman" w:hAnsi="Morningstar 1" w:cs="Calibri"/>
                <w:b/>
                <w:bCs/>
                <w:color w:val="00B050"/>
                <w:sz w:val="22"/>
                <w:szCs w:val="22"/>
                <w:lang w:val="en-AU" w:eastAsia="en-AU"/>
              </w:rPr>
            </w:pPr>
            <w:r w:rsidRPr="00E231C5">
              <w:rPr>
                <w:rFonts w:ascii="Morningstar 1" w:eastAsia="Times New Roman" w:hAnsi="Morningstar 1" w:cs="Calibri"/>
                <w:b/>
                <w:bCs/>
                <w:color w:val="00B050"/>
                <w:sz w:val="22"/>
                <w:szCs w:val="22"/>
                <w:lang w:eastAsia="en-AU"/>
              </w:rPr>
              <w:t>Increase</w:t>
            </w:r>
          </w:p>
        </w:tc>
        <w:tc>
          <w:tcPr>
            <w:tcW w:w="232" w:type="dxa"/>
            <w:vAlign w:val="center"/>
            <w:hideMark/>
          </w:tcPr>
          <w:p w14:paraId="5CFDAA18" w14:textId="77777777" w:rsidR="00E231C5" w:rsidRPr="00E231C5" w:rsidRDefault="00E231C5" w:rsidP="00E231C5">
            <w:pPr>
              <w:rPr>
                <w:rFonts w:eastAsia="Times New Roman"/>
                <w:sz w:val="20"/>
                <w:szCs w:val="20"/>
                <w:lang w:val="en-AU" w:eastAsia="en-AU"/>
              </w:rPr>
            </w:pPr>
          </w:p>
        </w:tc>
      </w:tr>
      <w:tr w:rsidR="00E231C5" w:rsidRPr="00E231C5" w14:paraId="0945B9F3" w14:textId="77777777" w:rsidTr="00E231C5">
        <w:trPr>
          <w:trHeight w:val="294"/>
          <w:jc w:val="center"/>
        </w:trPr>
        <w:tc>
          <w:tcPr>
            <w:tcW w:w="3647" w:type="dxa"/>
            <w:tcBorders>
              <w:top w:val="nil"/>
              <w:left w:val="nil"/>
              <w:bottom w:val="single" w:sz="8" w:space="0" w:color="auto"/>
              <w:right w:val="nil"/>
            </w:tcBorders>
            <w:shd w:val="clear" w:color="000000" w:fill="F2F2F2"/>
            <w:vAlign w:val="center"/>
            <w:hideMark/>
          </w:tcPr>
          <w:p w14:paraId="055FEDD3" w14:textId="77777777" w:rsidR="00E231C5" w:rsidRPr="00E231C5" w:rsidRDefault="00E231C5" w:rsidP="00E231C5">
            <w:pPr>
              <w:rPr>
                <w:rFonts w:ascii="Morningstar 1" w:eastAsia="Times New Roman" w:hAnsi="Morningstar 1" w:cs="Calibri"/>
                <w:b/>
                <w:bCs/>
                <w:color w:val="000000"/>
                <w:sz w:val="22"/>
                <w:szCs w:val="22"/>
                <w:lang w:val="en-AU" w:eastAsia="en-AU"/>
              </w:rPr>
            </w:pPr>
            <w:r w:rsidRPr="00E231C5">
              <w:rPr>
                <w:rFonts w:ascii="Morningstar 1" w:eastAsia="Times New Roman" w:hAnsi="Morningstar 1" w:cs="Calibri"/>
                <w:b/>
                <w:bCs/>
                <w:color w:val="000000"/>
                <w:sz w:val="22"/>
                <w:szCs w:val="22"/>
                <w:lang w:eastAsia="en-AU"/>
              </w:rPr>
              <w:t>International Shares</w:t>
            </w:r>
          </w:p>
        </w:tc>
        <w:tc>
          <w:tcPr>
            <w:tcW w:w="2721" w:type="dxa"/>
            <w:tcBorders>
              <w:top w:val="nil"/>
              <w:left w:val="nil"/>
              <w:bottom w:val="single" w:sz="8" w:space="0" w:color="auto"/>
              <w:right w:val="nil"/>
            </w:tcBorders>
            <w:shd w:val="clear" w:color="000000" w:fill="F2F2F2"/>
            <w:vAlign w:val="center"/>
            <w:hideMark/>
          </w:tcPr>
          <w:p w14:paraId="4C3376AB" w14:textId="77777777" w:rsidR="00E231C5" w:rsidRPr="00E231C5" w:rsidRDefault="00E231C5" w:rsidP="00E231C5">
            <w:pPr>
              <w:jc w:val="center"/>
              <w:rPr>
                <w:rFonts w:ascii="Morningstar 1" w:eastAsia="Times New Roman" w:hAnsi="Morningstar 1" w:cs="Calibri"/>
                <w:b/>
                <w:bCs/>
                <w:color w:val="00B050"/>
                <w:sz w:val="22"/>
                <w:szCs w:val="22"/>
                <w:lang w:val="en-AU" w:eastAsia="en-AU"/>
              </w:rPr>
            </w:pPr>
            <w:r w:rsidRPr="00E231C5">
              <w:rPr>
                <w:rFonts w:ascii="Morningstar 1" w:eastAsia="Times New Roman" w:hAnsi="Morningstar 1" w:cs="Calibri"/>
                <w:b/>
                <w:bCs/>
                <w:color w:val="00B050"/>
                <w:sz w:val="22"/>
                <w:szCs w:val="22"/>
                <w:lang w:eastAsia="en-AU"/>
              </w:rPr>
              <w:t> </w:t>
            </w:r>
          </w:p>
        </w:tc>
        <w:tc>
          <w:tcPr>
            <w:tcW w:w="232" w:type="dxa"/>
            <w:vAlign w:val="center"/>
            <w:hideMark/>
          </w:tcPr>
          <w:p w14:paraId="6D5C4EBE" w14:textId="77777777" w:rsidR="00E231C5" w:rsidRPr="00E231C5" w:rsidRDefault="00E231C5" w:rsidP="00E231C5">
            <w:pPr>
              <w:rPr>
                <w:rFonts w:eastAsia="Times New Roman"/>
                <w:sz w:val="20"/>
                <w:szCs w:val="20"/>
                <w:lang w:val="en-AU" w:eastAsia="en-AU"/>
              </w:rPr>
            </w:pPr>
          </w:p>
        </w:tc>
      </w:tr>
      <w:tr w:rsidR="00E231C5" w:rsidRPr="00E231C5" w14:paraId="65D03675" w14:textId="77777777" w:rsidTr="00E231C5">
        <w:trPr>
          <w:trHeight w:val="294"/>
          <w:jc w:val="center"/>
        </w:trPr>
        <w:tc>
          <w:tcPr>
            <w:tcW w:w="3647" w:type="dxa"/>
            <w:tcBorders>
              <w:top w:val="nil"/>
              <w:left w:val="nil"/>
              <w:bottom w:val="single" w:sz="8" w:space="0" w:color="auto"/>
              <w:right w:val="nil"/>
            </w:tcBorders>
            <w:shd w:val="clear" w:color="auto" w:fill="auto"/>
            <w:noWrap/>
            <w:vAlign w:val="center"/>
            <w:hideMark/>
          </w:tcPr>
          <w:p w14:paraId="52FB5A8B" w14:textId="77777777" w:rsidR="00E231C5" w:rsidRPr="00E231C5" w:rsidRDefault="00E231C5" w:rsidP="00E231C5">
            <w:pPr>
              <w:rPr>
                <w:rFonts w:ascii="Morningstar 1" w:eastAsia="Times New Roman" w:hAnsi="Morningstar 1" w:cs="Calibri"/>
                <w:color w:val="000000"/>
                <w:sz w:val="22"/>
                <w:szCs w:val="22"/>
                <w:lang w:val="en-AU" w:eastAsia="en-AU"/>
              </w:rPr>
            </w:pPr>
            <w:r w:rsidRPr="00E231C5">
              <w:rPr>
                <w:rFonts w:ascii="Morningstar 1" w:eastAsia="Times New Roman" w:hAnsi="Morningstar 1" w:cs="Calibri"/>
                <w:color w:val="000000"/>
                <w:sz w:val="22"/>
                <w:szCs w:val="22"/>
                <w:lang w:eastAsia="en-AU"/>
              </w:rPr>
              <w:t>Capital Group New Perspective (AU)</w:t>
            </w:r>
          </w:p>
        </w:tc>
        <w:tc>
          <w:tcPr>
            <w:tcW w:w="2721" w:type="dxa"/>
            <w:tcBorders>
              <w:top w:val="nil"/>
              <w:left w:val="nil"/>
              <w:bottom w:val="single" w:sz="8" w:space="0" w:color="auto"/>
              <w:right w:val="nil"/>
            </w:tcBorders>
            <w:shd w:val="clear" w:color="auto" w:fill="auto"/>
            <w:vAlign w:val="center"/>
            <w:hideMark/>
          </w:tcPr>
          <w:p w14:paraId="0FCD7A57" w14:textId="77777777" w:rsidR="00E231C5" w:rsidRPr="00E231C5" w:rsidRDefault="00E231C5" w:rsidP="00E231C5">
            <w:pPr>
              <w:jc w:val="center"/>
              <w:rPr>
                <w:rFonts w:ascii="Morningstar 1" w:eastAsia="Times New Roman" w:hAnsi="Morningstar 1" w:cs="Calibri"/>
                <w:b/>
                <w:bCs/>
                <w:color w:val="FF0000"/>
                <w:sz w:val="22"/>
                <w:szCs w:val="22"/>
                <w:lang w:val="en-AU" w:eastAsia="en-AU"/>
              </w:rPr>
            </w:pPr>
            <w:r w:rsidRPr="00E231C5">
              <w:rPr>
                <w:rFonts w:ascii="Morningstar 1" w:eastAsia="Times New Roman" w:hAnsi="Morningstar 1" w:cs="Calibri"/>
                <w:b/>
                <w:bCs/>
                <w:color w:val="FF0000"/>
                <w:sz w:val="22"/>
                <w:szCs w:val="22"/>
                <w:lang w:eastAsia="en-AU"/>
              </w:rPr>
              <w:t>Decrease</w:t>
            </w:r>
          </w:p>
        </w:tc>
        <w:tc>
          <w:tcPr>
            <w:tcW w:w="232" w:type="dxa"/>
            <w:vAlign w:val="center"/>
            <w:hideMark/>
          </w:tcPr>
          <w:p w14:paraId="58DB0809" w14:textId="77777777" w:rsidR="00E231C5" w:rsidRPr="00E231C5" w:rsidRDefault="00E231C5" w:rsidP="00E231C5">
            <w:pPr>
              <w:rPr>
                <w:rFonts w:eastAsia="Times New Roman"/>
                <w:sz w:val="20"/>
                <w:szCs w:val="20"/>
                <w:lang w:val="en-AU" w:eastAsia="en-AU"/>
              </w:rPr>
            </w:pPr>
          </w:p>
        </w:tc>
      </w:tr>
      <w:tr w:rsidR="00E231C5" w:rsidRPr="00E231C5" w14:paraId="7EFB85FA" w14:textId="77777777" w:rsidTr="00E231C5">
        <w:trPr>
          <w:trHeight w:val="294"/>
          <w:jc w:val="center"/>
        </w:trPr>
        <w:tc>
          <w:tcPr>
            <w:tcW w:w="3647" w:type="dxa"/>
            <w:tcBorders>
              <w:top w:val="nil"/>
              <w:left w:val="nil"/>
              <w:bottom w:val="single" w:sz="8" w:space="0" w:color="auto"/>
              <w:right w:val="nil"/>
            </w:tcBorders>
            <w:shd w:val="clear" w:color="auto" w:fill="auto"/>
            <w:noWrap/>
            <w:vAlign w:val="center"/>
            <w:hideMark/>
          </w:tcPr>
          <w:p w14:paraId="7FC603A3" w14:textId="77777777" w:rsidR="00E231C5" w:rsidRPr="00E231C5" w:rsidRDefault="00E231C5" w:rsidP="00E231C5">
            <w:pPr>
              <w:rPr>
                <w:rFonts w:ascii="Morningstar 1" w:eastAsia="Times New Roman" w:hAnsi="Morningstar 1" w:cs="Calibri"/>
                <w:color w:val="000000"/>
                <w:sz w:val="22"/>
                <w:szCs w:val="22"/>
                <w:lang w:val="en-AU" w:eastAsia="en-AU"/>
              </w:rPr>
            </w:pPr>
            <w:r w:rsidRPr="00E231C5">
              <w:rPr>
                <w:rFonts w:ascii="Morningstar 1" w:eastAsia="Times New Roman" w:hAnsi="Morningstar 1" w:cs="Calibri"/>
                <w:color w:val="000000"/>
                <w:sz w:val="22"/>
                <w:szCs w:val="22"/>
                <w:lang w:eastAsia="en-AU"/>
              </w:rPr>
              <w:t>Barrow Hanley Global Share S</w:t>
            </w:r>
          </w:p>
        </w:tc>
        <w:tc>
          <w:tcPr>
            <w:tcW w:w="2721" w:type="dxa"/>
            <w:tcBorders>
              <w:top w:val="nil"/>
              <w:left w:val="nil"/>
              <w:bottom w:val="single" w:sz="8" w:space="0" w:color="auto"/>
              <w:right w:val="nil"/>
            </w:tcBorders>
            <w:shd w:val="clear" w:color="auto" w:fill="auto"/>
            <w:vAlign w:val="center"/>
            <w:hideMark/>
          </w:tcPr>
          <w:p w14:paraId="6A867BF3" w14:textId="77777777" w:rsidR="00E231C5" w:rsidRPr="00E231C5" w:rsidRDefault="00E231C5" w:rsidP="00E231C5">
            <w:pPr>
              <w:jc w:val="center"/>
              <w:rPr>
                <w:rFonts w:ascii="Morningstar 1" w:eastAsia="Times New Roman" w:hAnsi="Morningstar 1" w:cs="Calibri"/>
                <w:b/>
                <w:bCs/>
                <w:color w:val="00B050"/>
                <w:sz w:val="22"/>
                <w:szCs w:val="22"/>
                <w:lang w:val="en-AU" w:eastAsia="en-AU"/>
              </w:rPr>
            </w:pPr>
            <w:r w:rsidRPr="00E231C5">
              <w:rPr>
                <w:rFonts w:ascii="Morningstar 1" w:eastAsia="Times New Roman" w:hAnsi="Morningstar 1" w:cs="Calibri"/>
                <w:b/>
                <w:bCs/>
                <w:color w:val="00B050"/>
                <w:sz w:val="22"/>
                <w:szCs w:val="22"/>
                <w:lang w:eastAsia="en-AU"/>
              </w:rPr>
              <w:t>Increase</w:t>
            </w:r>
          </w:p>
        </w:tc>
        <w:tc>
          <w:tcPr>
            <w:tcW w:w="232" w:type="dxa"/>
            <w:vAlign w:val="center"/>
            <w:hideMark/>
          </w:tcPr>
          <w:p w14:paraId="444DFD4F" w14:textId="77777777" w:rsidR="00E231C5" w:rsidRPr="00E231C5" w:rsidRDefault="00E231C5" w:rsidP="00E231C5">
            <w:pPr>
              <w:rPr>
                <w:rFonts w:eastAsia="Times New Roman"/>
                <w:sz w:val="20"/>
                <w:szCs w:val="20"/>
                <w:lang w:val="en-AU" w:eastAsia="en-AU"/>
              </w:rPr>
            </w:pPr>
          </w:p>
        </w:tc>
      </w:tr>
      <w:tr w:rsidR="00E231C5" w:rsidRPr="00E231C5" w14:paraId="190E04F3" w14:textId="77777777" w:rsidTr="00E231C5">
        <w:trPr>
          <w:trHeight w:val="294"/>
          <w:jc w:val="center"/>
        </w:trPr>
        <w:tc>
          <w:tcPr>
            <w:tcW w:w="3647" w:type="dxa"/>
            <w:tcBorders>
              <w:top w:val="nil"/>
              <w:left w:val="nil"/>
              <w:bottom w:val="single" w:sz="8" w:space="0" w:color="auto"/>
              <w:right w:val="nil"/>
            </w:tcBorders>
            <w:shd w:val="clear" w:color="000000" w:fill="F2F2F2"/>
            <w:vAlign w:val="center"/>
            <w:hideMark/>
          </w:tcPr>
          <w:p w14:paraId="124FD690" w14:textId="77777777" w:rsidR="00E231C5" w:rsidRPr="00E231C5" w:rsidRDefault="00E231C5" w:rsidP="00E231C5">
            <w:pPr>
              <w:rPr>
                <w:rFonts w:ascii="Morningstar 1" w:eastAsia="Times New Roman" w:hAnsi="Morningstar 1" w:cs="Calibri"/>
                <w:b/>
                <w:bCs/>
                <w:color w:val="000000"/>
                <w:sz w:val="22"/>
                <w:szCs w:val="22"/>
                <w:lang w:val="en-AU" w:eastAsia="en-AU"/>
              </w:rPr>
            </w:pPr>
            <w:r w:rsidRPr="00E231C5">
              <w:rPr>
                <w:rFonts w:ascii="Morningstar 1" w:eastAsia="Times New Roman" w:hAnsi="Morningstar 1" w:cs="Calibri"/>
                <w:b/>
                <w:bCs/>
                <w:color w:val="000000"/>
                <w:sz w:val="22"/>
                <w:szCs w:val="22"/>
                <w:lang w:eastAsia="en-AU"/>
              </w:rPr>
              <w:t>Property and Infrastructure</w:t>
            </w:r>
          </w:p>
        </w:tc>
        <w:tc>
          <w:tcPr>
            <w:tcW w:w="2721" w:type="dxa"/>
            <w:tcBorders>
              <w:top w:val="nil"/>
              <w:left w:val="nil"/>
              <w:bottom w:val="single" w:sz="8" w:space="0" w:color="auto"/>
              <w:right w:val="nil"/>
            </w:tcBorders>
            <w:shd w:val="clear" w:color="000000" w:fill="F2F2F2"/>
            <w:vAlign w:val="center"/>
            <w:hideMark/>
          </w:tcPr>
          <w:p w14:paraId="1BE706D7" w14:textId="77777777" w:rsidR="00E231C5" w:rsidRPr="00E231C5" w:rsidRDefault="00E231C5" w:rsidP="00E231C5">
            <w:pPr>
              <w:jc w:val="center"/>
              <w:rPr>
                <w:rFonts w:ascii="Morningstar 1" w:eastAsia="Times New Roman" w:hAnsi="Morningstar 1" w:cs="Calibri"/>
                <w:b/>
                <w:bCs/>
                <w:color w:val="000000"/>
                <w:sz w:val="22"/>
                <w:szCs w:val="22"/>
                <w:lang w:val="en-AU" w:eastAsia="en-AU"/>
              </w:rPr>
            </w:pPr>
            <w:r w:rsidRPr="00E231C5">
              <w:rPr>
                <w:rFonts w:ascii="Morningstar 1" w:eastAsia="Times New Roman" w:hAnsi="Morningstar 1" w:cs="Calibri"/>
                <w:b/>
                <w:bCs/>
                <w:color w:val="000000"/>
                <w:sz w:val="22"/>
                <w:szCs w:val="22"/>
                <w:lang w:eastAsia="en-AU"/>
              </w:rPr>
              <w:t> </w:t>
            </w:r>
          </w:p>
        </w:tc>
        <w:tc>
          <w:tcPr>
            <w:tcW w:w="232" w:type="dxa"/>
            <w:vAlign w:val="center"/>
            <w:hideMark/>
          </w:tcPr>
          <w:p w14:paraId="08FE263F" w14:textId="77777777" w:rsidR="00E231C5" w:rsidRPr="00E231C5" w:rsidRDefault="00E231C5" w:rsidP="00E231C5">
            <w:pPr>
              <w:rPr>
                <w:rFonts w:eastAsia="Times New Roman"/>
                <w:sz w:val="20"/>
                <w:szCs w:val="20"/>
                <w:lang w:val="en-AU" w:eastAsia="en-AU"/>
              </w:rPr>
            </w:pPr>
          </w:p>
        </w:tc>
      </w:tr>
      <w:tr w:rsidR="00E231C5" w:rsidRPr="00E231C5" w14:paraId="4F2B3B22" w14:textId="77777777" w:rsidTr="00E231C5">
        <w:trPr>
          <w:trHeight w:val="294"/>
          <w:jc w:val="center"/>
        </w:trPr>
        <w:tc>
          <w:tcPr>
            <w:tcW w:w="3647" w:type="dxa"/>
            <w:tcBorders>
              <w:top w:val="nil"/>
              <w:left w:val="nil"/>
              <w:bottom w:val="single" w:sz="8" w:space="0" w:color="auto"/>
              <w:right w:val="nil"/>
            </w:tcBorders>
            <w:shd w:val="clear" w:color="auto" w:fill="auto"/>
            <w:noWrap/>
            <w:vAlign w:val="center"/>
            <w:hideMark/>
          </w:tcPr>
          <w:p w14:paraId="49E08B62" w14:textId="77777777" w:rsidR="00E231C5" w:rsidRPr="00E231C5" w:rsidRDefault="00E231C5" w:rsidP="00E231C5">
            <w:pPr>
              <w:rPr>
                <w:rFonts w:ascii="Morningstar 1" w:eastAsia="Times New Roman" w:hAnsi="Morningstar 1" w:cs="Calibri"/>
                <w:color w:val="000000"/>
                <w:sz w:val="22"/>
                <w:szCs w:val="22"/>
                <w:lang w:val="en-AU" w:eastAsia="en-AU"/>
              </w:rPr>
            </w:pPr>
            <w:r w:rsidRPr="00E231C5">
              <w:rPr>
                <w:rFonts w:ascii="Morningstar 1" w:eastAsia="Times New Roman" w:hAnsi="Morningstar 1" w:cs="Calibri"/>
                <w:color w:val="000000"/>
                <w:sz w:val="22"/>
                <w:szCs w:val="22"/>
                <w:lang w:eastAsia="en-AU"/>
              </w:rPr>
              <w:t>iShares Global Listed Property Idx Hdg S</w:t>
            </w:r>
          </w:p>
        </w:tc>
        <w:tc>
          <w:tcPr>
            <w:tcW w:w="2721" w:type="dxa"/>
            <w:tcBorders>
              <w:top w:val="nil"/>
              <w:left w:val="nil"/>
              <w:bottom w:val="single" w:sz="8" w:space="0" w:color="auto"/>
              <w:right w:val="nil"/>
            </w:tcBorders>
            <w:shd w:val="clear" w:color="auto" w:fill="auto"/>
            <w:vAlign w:val="center"/>
            <w:hideMark/>
          </w:tcPr>
          <w:p w14:paraId="465015C7" w14:textId="77777777" w:rsidR="00E231C5" w:rsidRPr="00E231C5" w:rsidRDefault="00E231C5" w:rsidP="00E231C5">
            <w:pPr>
              <w:jc w:val="center"/>
              <w:rPr>
                <w:rFonts w:ascii="Morningstar 1" w:eastAsia="Times New Roman" w:hAnsi="Morningstar 1" w:cs="Calibri"/>
                <w:b/>
                <w:bCs/>
                <w:color w:val="FF0000"/>
                <w:sz w:val="22"/>
                <w:szCs w:val="22"/>
                <w:lang w:val="en-AU" w:eastAsia="en-AU"/>
              </w:rPr>
            </w:pPr>
            <w:r w:rsidRPr="00E231C5">
              <w:rPr>
                <w:rFonts w:ascii="Morningstar 1" w:eastAsia="Times New Roman" w:hAnsi="Morningstar 1" w:cs="Calibri"/>
                <w:b/>
                <w:bCs/>
                <w:color w:val="FF0000"/>
                <w:sz w:val="22"/>
                <w:szCs w:val="22"/>
                <w:lang w:eastAsia="en-AU"/>
              </w:rPr>
              <w:t>Decrease</w:t>
            </w:r>
          </w:p>
        </w:tc>
        <w:tc>
          <w:tcPr>
            <w:tcW w:w="232" w:type="dxa"/>
            <w:vAlign w:val="center"/>
            <w:hideMark/>
          </w:tcPr>
          <w:p w14:paraId="096051B5" w14:textId="77777777" w:rsidR="00E231C5" w:rsidRPr="00E231C5" w:rsidRDefault="00E231C5" w:rsidP="00E231C5">
            <w:pPr>
              <w:rPr>
                <w:rFonts w:eastAsia="Times New Roman"/>
                <w:sz w:val="20"/>
                <w:szCs w:val="20"/>
                <w:lang w:val="en-AU" w:eastAsia="en-AU"/>
              </w:rPr>
            </w:pPr>
          </w:p>
        </w:tc>
      </w:tr>
      <w:tr w:rsidR="00E231C5" w:rsidRPr="00E231C5" w14:paraId="13A246C7" w14:textId="77777777" w:rsidTr="00E231C5">
        <w:trPr>
          <w:trHeight w:val="294"/>
          <w:jc w:val="center"/>
        </w:trPr>
        <w:tc>
          <w:tcPr>
            <w:tcW w:w="3647" w:type="dxa"/>
            <w:tcBorders>
              <w:top w:val="nil"/>
              <w:left w:val="nil"/>
              <w:bottom w:val="single" w:sz="8" w:space="0" w:color="auto"/>
              <w:right w:val="nil"/>
            </w:tcBorders>
            <w:shd w:val="clear" w:color="000000" w:fill="F2F2F2"/>
            <w:vAlign w:val="center"/>
            <w:hideMark/>
          </w:tcPr>
          <w:p w14:paraId="488871E6" w14:textId="77777777" w:rsidR="00E231C5" w:rsidRPr="00E231C5" w:rsidRDefault="00E231C5" w:rsidP="00E231C5">
            <w:pPr>
              <w:rPr>
                <w:rFonts w:ascii="Morningstar 1" w:eastAsia="Times New Roman" w:hAnsi="Morningstar 1" w:cs="Calibri"/>
                <w:b/>
                <w:bCs/>
                <w:color w:val="000000"/>
                <w:sz w:val="22"/>
                <w:szCs w:val="22"/>
                <w:lang w:val="en-AU" w:eastAsia="en-AU"/>
              </w:rPr>
            </w:pPr>
            <w:r w:rsidRPr="00E231C5">
              <w:rPr>
                <w:rFonts w:ascii="Morningstar 1" w:eastAsia="Times New Roman" w:hAnsi="Morningstar 1" w:cs="Calibri"/>
                <w:b/>
                <w:bCs/>
                <w:color w:val="000000"/>
                <w:sz w:val="22"/>
                <w:szCs w:val="22"/>
                <w:lang w:eastAsia="en-AU"/>
              </w:rPr>
              <w:t>Australian Fixed Interest</w:t>
            </w:r>
          </w:p>
        </w:tc>
        <w:tc>
          <w:tcPr>
            <w:tcW w:w="2721" w:type="dxa"/>
            <w:tcBorders>
              <w:top w:val="nil"/>
              <w:left w:val="nil"/>
              <w:bottom w:val="single" w:sz="8" w:space="0" w:color="auto"/>
              <w:right w:val="nil"/>
            </w:tcBorders>
            <w:shd w:val="clear" w:color="000000" w:fill="F2F2F2"/>
            <w:vAlign w:val="center"/>
            <w:hideMark/>
          </w:tcPr>
          <w:p w14:paraId="358669A2" w14:textId="77777777" w:rsidR="00E231C5" w:rsidRPr="00E231C5" w:rsidRDefault="00E231C5" w:rsidP="00E231C5">
            <w:pPr>
              <w:jc w:val="center"/>
              <w:rPr>
                <w:rFonts w:ascii="Morningstar 1" w:eastAsia="Times New Roman" w:hAnsi="Morningstar 1" w:cs="Calibri"/>
                <w:b/>
                <w:bCs/>
                <w:color w:val="00B050"/>
                <w:sz w:val="22"/>
                <w:szCs w:val="22"/>
                <w:lang w:val="en-AU" w:eastAsia="en-AU"/>
              </w:rPr>
            </w:pPr>
            <w:r w:rsidRPr="00E231C5">
              <w:rPr>
                <w:rFonts w:ascii="Morningstar 1" w:eastAsia="Times New Roman" w:hAnsi="Morningstar 1" w:cs="Calibri"/>
                <w:b/>
                <w:bCs/>
                <w:color w:val="00B050"/>
                <w:sz w:val="22"/>
                <w:szCs w:val="22"/>
                <w:lang w:eastAsia="en-AU"/>
              </w:rPr>
              <w:t> </w:t>
            </w:r>
          </w:p>
        </w:tc>
        <w:tc>
          <w:tcPr>
            <w:tcW w:w="232" w:type="dxa"/>
            <w:vAlign w:val="center"/>
            <w:hideMark/>
          </w:tcPr>
          <w:p w14:paraId="008F46F8" w14:textId="77777777" w:rsidR="00E231C5" w:rsidRPr="00E231C5" w:rsidRDefault="00E231C5" w:rsidP="00E231C5">
            <w:pPr>
              <w:rPr>
                <w:rFonts w:eastAsia="Times New Roman"/>
                <w:sz w:val="20"/>
                <w:szCs w:val="20"/>
                <w:lang w:val="en-AU" w:eastAsia="en-AU"/>
              </w:rPr>
            </w:pPr>
          </w:p>
        </w:tc>
      </w:tr>
      <w:tr w:rsidR="00E231C5" w:rsidRPr="00E231C5" w14:paraId="567FD56E" w14:textId="77777777" w:rsidTr="00E231C5">
        <w:trPr>
          <w:trHeight w:val="294"/>
          <w:jc w:val="center"/>
        </w:trPr>
        <w:tc>
          <w:tcPr>
            <w:tcW w:w="3647" w:type="dxa"/>
            <w:tcBorders>
              <w:top w:val="nil"/>
              <w:left w:val="nil"/>
              <w:bottom w:val="single" w:sz="8" w:space="0" w:color="auto"/>
              <w:right w:val="nil"/>
            </w:tcBorders>
            <w:shd w:val="clear" w:color="auto" w:fill="auto"/>
            <w:noWrap/>
            <w:vAlign w:val="center"/>
            <w:hideMark/>
          </w:tcPr>
          <w:p w14:paraId="5381F9FD" w14:textId="77777777" w:rsidR="00E231C5" w:rsidRPr="00E231C5" w:rsidRDefault="00E231C5" w:rsidP="00E231C5">
            <w:pPr>
              <w:rPr>
                <w:rFonts w:ascii="Morningstar 1" w:eastAsia="Times New Roman" w:hAnsi="Morningstar 1" w:cs="Calibri"/>
                <w:color w:val="000000"/>
                <w:sz w:val="22"/>
                <w:szCs w:val="22"/>
                <w:lang w:val="en-AU" w:eastAsia="en-AU"/>
              </w:rPr>
            </w:pPr>
            <w:r w:rsidRPr="00E231C5">
              <w:rPr>
                <w:rFonts w:ascii="Morningstar 1" w:eastAsia="Times New Roman" w:hAnsi="Morningstar 1" w:cs="Calibri"/>
                <w:color w:val="000000"/>
                <w:sz w:val="22"/>
                <w:szCs w:val="22"/>
                <w:lang w:eastAsia="en-AU"/>
              </w:rPr>
              <w:t>Janus Henderson Tactical Income</w:t>
            </w:r>
          </w:p>
        </w:tc>
        <w:tc>
          <w:tcPr>
            <w:tcW w:w="2721" w:type="dxa"/>
            <w:tcBorders>
              <w:top w:val="nil"/>
              <w:left w:val="nil"/>
              <w:bottom w:val="single" w:sz="8" w:space="0" w:color="auto"/>
              <w:right w:val="nil"/>
            </w:tcBorders>
            <w:shd w:val="clear" w:color="auto" w:fill="auto"/>
            <w:vAlign w:val="center"/>
            <w:hideMark/>
          </w:tcPr>
          <w:p w14:paraId="3C603F02" w14:textId="77777777" w:rsidR="00E231C5" w:rsidRPr="00E231C5" w:rsidRDefault="00E231C5" w:rsidP="00E231C5">
            <w:pPr>
              <w:jc w:val="center"/>
              <w:rPr>
                <w:rFonts w:ascii="Morningstar 1" w:eastAsia="Times New Roman" w:hAnsi="Morningstar 1" w:cs="Calibri"/>
                <w:b/>
                <w:bCs/>
                <w:color w:val="00B050"/>
                <w:sz w:val="22"/>
                <w:szCs w:val="22"/>
                <w:lang w:val="en-AU" w:eastAsia="en-AU"/>
              </w:rPr>
            </w:pPr>
            <w:r w:rsidRPr="00E231C5">
              <w:rPr>
                <w:rFonts w:ascii="Morningstar 1" w:eastAsia="Times New Roman" w:hAnsi="Morningstar 1" w:cs="Calibri"/>
                <w:b/>
                <w:bCs/>
                <w:color w:val="00B050"/>
                <w:sz w:val="22"/>
                <w:szCs w:val="22"/>
                <w:lang w:eastAsia="en-AU"/>
              </w:rPr>
              <w:t>Increase</w:t>
            </w:r>
          </w:p>
        </w:tc>
        <w:tc>
          <w:tcPr>
            <w:tcW w:w="232" w:type="dxa"/>
            <w:vAlign w:val="center"/>
            <w:hideMark/>
          </w:tcPr>
          <w:p w14:paraId="535DF4A9" w14:textId="77777777" w:rsidR="00E231C5" w:rsidRPr="00E231C5" w:rsidRDefault="00E231C5" w:rsidP="00E231C5">
            <w:pPr>
              <w:rPr>
                <w:rFonts w:eastAsia="Times New Roman"/>
                <w:sz w:val="20"/>
                <w:szCs w:val="20"/>
                <w:lang w:val="en-AU" w:eastAsia="en-AU"/>
              </w:rPr>
            </w:pPr>
          </w:p>
        </w:tc>
      </w:tr>
      <w:tr w:rsidR="00E231C5" w:rsidRPr="00E231C5" w14:paraId="048C6CD9" w14:textId="77777777" w:rsidTr="00E231C5">
        <w:trPr>
          <w:trHeight w:val="294"/>
          <w:jc w:val="center"/>
        </w:trPr>
        <w:tc>
          <w:tcPr>
            <w:tcW w:w="3647" w:type="dxa"/>
            <w:tcBorders>
              <w:top w:val="nil"/>
              <w:left w:val="nil"/>
              <w:bottom w:val="single" w:sz="8" w:space="0" w:color="auto"/>
              <w:right w:val="nil"/>
            </w:tcBorders>
            <w:shd w:val="clear" w:color="auto" w:fill="auto"/>
            <w:noWrap/>
            <w:vAlign w:val="center"/>
            <w:hideMark/>
          </w:tcPr>
          <w:p w14:paraId="012BB53B" w14:textId="77777777" w:rsidR="00E231C5" w:rsidRPr="00E231C5" w:rsidRDefault="00E231C5" w:rsidP="00E231C5">
            <w:pPr>
              <w:rPr>
                <w:rFonts w:ascii="Morningstar 1" w:eastAsia="Times New Roman" w:hAnsi="Morningstar 1" w:cs="Calibri"/>
                <w:color w:val="000000"/>
                <w:sz w:val="22"/>
                <w:szCs w:val="22"/>
                <w:lang w:val="en-AU" w:eastAsia="en-AU"/>
              </w:rPr>
            </w:pPr>
            <w:r w:rsidRPr="00E231C5">
              <w:rPr>
                <w:rFonts w:ascii="Morningstar 1" w:eastAsia="Times New Roman" w:hAnsi="Morningstar 1" w:cs="Calibri"/>
                <w:color w:val="000000"/>
                <w:sz w:val="22"/>
                <w:szCs w:val="22"/>
                <w:lang w:eastAsia="en-AU"/>
              </w:rPr>
              <w:t>Vanguard Australian Fixed Interest ETF</w:t>
            </w:r>
          </w:p>
        </w:tc>
        <w:tc>
          <w:tcPr>
            <w:tcW w:w="2721" w:type="dxa"/>
            <w:tcBorders>
              <w:top w:val="nil"/>
              <w:left w:val="nil"/>
              <w:bottom w:val="single" w:sz="8" w:space="0" w:color="auto"/>
              <w:right w:val="nil"/>
            </w:tcBorders>
            <w:shd w:val="clear" w:color="auto" w:fill="auto"/>
            <w:vAlign w:val="center"/>
            <w:hideMark/>
          </w:tcPr>
          <w:p w14:paraId="04D44ADD" w14:textId="77777777" w:rsidR="00E231C5" w:rsidRPr="00E231C5" w:rsidRDefault="00E231C5" w:rsidP="00E231C5">
            <w:pPr>
              <w:jc w:val="center"/>
              <w:rPr>
                <w:rFonts w:ascii="Morningstar 1" w:eastAsia="Times New Roman" w:hAnsi="Morningstar 1" w:cs="Calibri"/>
                <w:b/>
                <w:bCs/>
                <w:color w:val="FF0000"/>
                <w:sz w:val="22"/>
                <w:szCs w:val="22"/>
                <w:lang w:val="en-AU" w:eastAsia="en-AU"/>
              </w:rPr>
            </w:pPr>
            <w:r w:rsidRPr="00E231C5">
              <w:rPr>
                <w:rFonts w:ascii="Morningstar 1" w:eastAsia="Times New Roman" w:hAnsi="Morningstar 1" w:cs="Calibri"/>
                <w:b/>
                <w:bCs/>
                <w:color w:val="FF0000"/>
                <w:sz w:val="22"/>
                <w:szCs w:val="22"/>
                <w:lang w:eastAsia="en-AU"/>
              </w:rPr>
              <w:t>Decrease</w:t>
            </w:r>
          </w:p>
        </w:tc>
        <w:tc>
          <w:tcPr>
            <w:tcW w:w="232" w:type="dxa"/>
            <w:vAlign w:val="center"/>
            <w:hideMark/>
          </w:tcPr>
          <w:p w14:paraId="5F48BD20" w14:textId="77777777" w:rsidR="00E231C5" w:rsidRPr="00E231C5" w:rsidRDefault="00E231C5" w:rsidP="00E231C5">
            <w:pPr>
              <w:rPr>
                <w:rFonts w:eastAsia="Times New Roman"/>
                <w:sz w:val="20"/>
                <w:szCs w:val="20"/>
                <w:lang w:val="en-AU" w:eastAsia="en-AU"/>
              </w:rPr>
            </w:pPr>
          </w:p>
        </w:tc>
      </w:tr>
      <w:tr w:rsidR="00E231C5" w:rsidRPr="00E231C5" w14:paraId="55352E95" w14:textId="77777777" w:rsidTr="00E231C5">
        <w:trPr>
          <w:trHeight w:val="294"/>
          <w:jc w:val="center"/>
        </w:trPr>
        <w:tc>
          <w:tcPr>
            <w:tcW w:w="3647" w:type="dxa"/>
            <w:tcBorders>
              <w:top w:val="nil"/>
              <w:left w:val="nil"/>
              <w:bottom w:val="single" w:sz="8" w:space="0" w:color="auto"/>
              <w:right w:val="nil"/>
            </w:tcBorders>
            <w:shd w:val="clear" w:color="000000" w:fill="F2F2F2"/>
            <w:vAlign w:val="center"/>
            <w:hideMark/>
          </w:tcPr>
          <w:p w14:paraId="1A386A7F" w14:textId="77777777" w:rsidR="00E231C5" w:rsidRPr="00E231C5" w:rsidRDefault="00E231C5" w:rsidP="00E231C5">
            <w:pPr>
              <w:rPr>
                <w:rFonts w:ascii="Morningstar 1" w:eastAsia="Times New Roman" w:hAnsi="Morningstar 1" w:cs="Calibri"/>
                <w:b/>
                <w:bCs/>
                <w:color w:val="000000"/>
                <w:sz w:val="22"/>
                <w:szCs w:val="22"/>
                <w:lang w:val="en-AU" w:eastAsia="en-AU"/>
              </w:rPr>
            </w:pPr>
            <w:r w:rsidRPr="00E231C5">
              <w:rPr>
                <w:rFonts w:ascii="Morningstar 1" w:eastAsia="Times New Roman" w:hAnsi="Morningstar 1" w:cs="Calibri"/>
                <w:b/>
                <w:bCs/>
                <w:color w:val="000000"/>
                <w:sz w:val="22"/>
                <w:szCs w:val="22"/>
                <w:lang w:eastAsia="en-AU"/>
              </w:rPr>
              <w:t>International Fixed Interest</w:t>
            </w:r>
          </w:p>
        </w:tc>
        <w:tc>
          <w:tcPr>
            <w:tcW w:w="2721" w:type="dxa"/>
            <w:tcBorders>
              <w:top w:val="nil"/>
              <w:left w:val="nil"/>
              <w:bottom w:val="single" w:sz="8" w:space="0" w:color="auto"/>
              <w:right w:val="nil"/>
            </w:tcBorders>
            <w:shd w:val="clear" w:color="000000" w:fill="F2F2F2"/>
            <w:vAlign w:val="center"/>
            <w:hideMark/>
          </w:tcPr>
          <w:p w14:paraId="015A3D51" w14:textId="77777777" w:rsidR="00E231C5" w:rsidRPr="00E231C5" w:rsidRDefault="00E231C5" w:rsidP="00E231C5">
            <w:pPr>
              <w:jc w:val="center"/>
              <w:rPr>
                <w:rFonts w:ascii="Morningstar 1" w:eastAsia="Times New Roman" w:hAnsi="Morningstar 1" w:cs="Calibri"/>
                <w:b/>
                <w:bCs/>
                <w:color w:val="000000"/>
                <w:sz w:val="22"/>
                <w:szCs w:val="22"/>
                <w:lang w:val="en-AU" w:eastAsia="en-AU"/>
              </w:rPr>
            </w:pPr>
            <w:r w:rsidRPr="00E231C5">
              <w:rPr>
                <w:rFonts w:ascii="Morningstar 1" w:eastAsia="Times New Roman" w:hAnsi="Morningstar 1" w:cs="Calibri"/>
                <w:b/>
                <w:bCs/>
                <w:color w:val="000000"/>
                <w:sz w:val="22"/>
                <w:szCs w:val="22"/>
                <w:lang w:eastAsia="en-AU"/>
              </w:rPr>
              <w:t> </w:t>
            </w:r>
          </w:p>
        </w:tc>
        <w:tc>
          <w:tcPr>
            <w:tcW w:w="232" w:type="dxa"/>
            <w:vAlign w:val="center"/>
            <w:hideMark/>
          </w:tcPr>
          <w:p w14:paraId="7DEF0239" w14:textId="77777777" w:rsidR="00E231C5" w:rsidRPr="00E231C5" w:rsidRDefault="00E231C5" w:rsidP="00E231C5">
            <w:pPr>
              <w:rPr>
                <w:rFonts w:eastAsia="Times New Roman"/>
                <w:sz w:val="20"/>
                <w:szCs w:val="20"/>
                <w:lang w:val="en-AU" w:eastAsia="en-AU"/>
              </w:rPr>
            </w:pPr>
          </w:p>
        </w:tc>
      </w:tr>
      <w:tr w:rsidR="00E231C5" w:rsidRPr="00E231C5" w14:paraId="512AEB21" w14:textId="77777777" w:rsidTr="00E231C5">
        <w:trPr>
          <w:trHeight w:val="294"/>
          <w:jc w:val="center"/>
        </w:trPr>
        <w:tc>
          <w:tcPr>
            <w:tcW w:w="3647" w:type="dxa"/>
            <w:tcBorders>
              <w:top w:val="nil"/>
              <w:left w:val="nil"/>
              <w:bottom w:val="single" w:sz="8" w:space="0" w:color="auto"/>
              <w:right w:val="nil"/>
            </w:tcBorders>
            <w:shd w:val="clear" w:color="auto" w:fill="auto"/>
            <w:noWrap/>
            <w:vAlign w:val="center"/>
            <w:hideMark/>
          </w:tcPr>
          <w:p w14:paraId="7448E277" w14:textId="77777777" w:rsidR="00E231C5" w:rsidRPr="00E231C5" w:rsidRDefault="00E231C5" w:rsidP="00E231C5">
            <w:pPr>
              <w:rPr>
                <w:rFonts w:ascii="Morningstar 1" w:eastAsia="Times New Roman" w:hAnsi="Morningstar 1" w:cs="Calibri"/>
                <w:color w:val="000000"/>
                <w:sz w:val="22"/>
                <w:szCs w:val="22"/>
                <w:lang w:val="en-AU" w:eastAsia="en-AU"/>
              </w:rPr>
            </w:pPr>
            <w:r w:rsidRPr="00E231C5">
              <w:rPr>
                <w:rFonts w:ascii="Morningstar 1" w:eastAsia="Times New Roman" w:hAnsi="Morningstar 1" w:cs="Calibri"/>
                <w:color w:val="000000"/>
                <w:sz w:val="22"/>
                <w:szCs w:val="22"/>
                <w:lang w:eastAsia="en-AU"/>
              </w:rPr>
              <w:t>iShares Global Bond Index</w:t>
            </w:r>
          </w:p>
        </w:tc>
        <w:tc>
          <w:tcPr>
            <w:tcW w:w="2721" w:type="dxa"/>
            <w:tcBorders>
              <w:top w:val="nil"/>
              <w:left w:val="nil"/>
              <w:bottom w:val="single" w:sz="8" w:space="0" w:color="auto"/>
              <w:right w:val="nil"/>
            </w:tcBorders>
            <w:shd w:val="clear" w:color="auto" w:fill="auto"/>
            <w:vAlign w:val="center"/>
            <w:hideMark/>
          </w:tcPr>
          <w:p w14:paraId="2B24F55B" w14:textId="77777777" w:rsidR="00E231C5" w:rsidRPr="00E231C5" w:rsidRDefault="00E231C5" w:rsidP="00E231C5">
            <w:pPr>
              <w:jc w:val="center"/>
              <w:rPr>
                <w:rFonts w:ascii="Morningstar 1" w:eastAsia="Times New Roman" w:hAnsi="Morningstar 1" w:cs="Calibri"/>
                <w:b/>
                <w:bCs/>
                <w:color w:val="00B050"/>
                <w:sz w:val="22"/>
                <w:szCs w:val="22"/>
                <w:lang w:val="en-AU" w:eastAsia="en-AU"/>
              </w:rPr>
            </w:pPr>
            <w:r w:rsidRPr="00E231C5">
              <w:rPr>
                <w:rFonts w:ascii="Morningstar 1" w:eastAsia="Times New Roman" w:hAnsi="Morningstar 1" w:cs="Calibri"/>
                <w:b/>
                <w:bCs/>
                <w:color w:val="00B050"/>
                <w:sz w:val="22"/>
                <w:szCs w:val="22"/>
                <w:lang w:eastAsia="en-AU"/>
              </w:rPr>
              <w:t>Increase</w:t>
            </w:r>
          </w:p>
        </w:tc>
        <w:tc>
          <w:tcPr>
            <w:tcW w:w="232" w:type="dxa"/>
            <w:vAlign w:val="center"/>
            <w:hideMark/>
          </w:tcPr>
          <w:p w14:paraId="43E55CEE" w14:textId="77777777" w:rsidR="00E231C5" w:rsidRPr="00E231C5" w:rsidRDefault="00E231C5" w:rsidP="00E231C5">
            <w:pPr>
              <w:rPr>
                <w:rFonts w:eastAsia="Times New Roman"/>
                <w:sz w:val="20"/>
                <w:szCs w:val="20"/>
                <w:lang w:val="en-AU" w:eastAsia="en-AU"/>
              </w:rPr>
            </w:pPr>
          </w:p>
        </w:tc>
      </w:tr>
      <w:tr w:rsidR="00E231C5" w:rsidRPr="00E231C5" w14:paraId="49D76C1A" w14:textId="77777777" w:rsidTr="00E231C5">
        <w:trPr>
          <w:trHeight w:val="294"/>
          <w:jc w:val="center"/>
        </w:trPr>
        <w:tc>
          <w:tcPr>
            <w:tcW w:w="3647" w:type="dxa"/>
            <w:tcBorders>
              <w:top w:val="nil"/>
              <w:left w:val="nil"/>
              <w:bottom w:val="single" w:sz="8" w:space="0" w:color="auto"/>
              <w:right w:val="nil"/>
            </w:tcBorders>
            <w:shd w:val="clear" w:color="auto" w:fill="auto"/>
            <w:noWrap/>
            <w:vAlign w:val="center"/>
            <w:hideMark/>
          </w:tcPr>
          <w:p w14:paraId="768B3491" w14:textId="77777777" w:rsidR="00E231C5" w:rsidRPr="00E231C5" w:rsidRDefault="00E231C5" w:rsidP="00E231C5">
            <w:pPr>
              <w:rPr>
                <w:rFonts w:ascii="Morningstar 1" w:eastAsia="Times New Roman" w:hAnsi="Morningstar 1" w:cs="Calibri"/>
                <w:color w:val="000000"/>
                <w:sz w:val="22"/>
                <w:szCs w:val="22"/>
                <w:lang w:val="en-AU" w:eastAsia="en-AU"/>
              </w:rPr>
            </w:pPr>
            <w:r w:rsidRPr="00E231C5">
              <w:rPr>
                <w:rFonts w:ascii="Morningstar 1" w:eastAsia="Times New Roman" w:hAnsi="Morningstar 1" w:cs="Calibri"/>
                <w:color w:val="000000"/>
                <w:sz w:val="22"/>
                <w:szCs w:val="22"/>
                <w:lang w:eastAsia="en-AU"/>
              </w:rPr>
              <w:t>Bentham Global Income</w:t>
            </w:r>
          </w:p>
        </w:tc>
        <w:tc>
          <w:tcPr>
            <w:tcW w:w="2721" w:type="dxa"/>
            <w:tcBorders>
              <w:top w:val="nil"/>
              <w:left w:val="nil"/>
              <w:bottom w:val="single" w:sz="8" w:space="0" w:color="auto"/>
              <w:right w:val="nil"/>
            </w:tcBorders>
            <w:shd w:val="clear" w:color="auto" w:fill="auto"/>
            <w:vAlign w:val="center"/>
            <w:hideMark/>
          </w:tcPr>
          <w:p w14:paraId="556C87E0" w14:textId="77777777" w:rsidR="00E231C5" w:rsidRPr="00E231C5" w:rsidRDefault="00E231C5" w:rsidP="00E231C5">
            <w:pPr>
              <w:jc w:val="center"/>
              <w:rPr>
                <w:rFonts w:ascii="Morningstar 1" w:eastAsia="Times New Roman" w:hAnsi="Morningstar 1" w:cs="Calibri"/>
                <w:b/>
                <w:bCs/>
                <w:color w:val="00B050"/>
                <w:sz w:val="22"/>
                <w:szCs w:val="22"/>
                <w:lang w:val="en-AU" w:eastAsia="en-AU"/>
              </w:rPr>
            </w:pPr>
            <w:r w:rsidRPr="00E231C5">
              <w:rPr>
                <w:rFonts w:ascii="Morningstar 1" w:eastAsia="Times New Roman" w:hAnsi="Morningstar 1" w:cs="Calibri"/>
                <w:b/>
                <w:bCs/>
                <w:color w:val="00B050"/>
                <w:sz w:val="22"/>
                <w:szCs w:val="22"/>
                <w:lang w:eastAsia="en-AU"/>
              </w:rPr>
              <w:t>Increase</w:t>
            </w:r>
          </w:p>
        </w:tc>
        <w:tc>
          <w:tcPr>
            <w:tcW w:w="232" w:type="dxa"/>
            <w:vAlign w:val="center"/>
            <w:hideMark/>
          </w:tcPr>
          <w:p w14:paraId="3FA5771D" w14:textId="77777777" w:rsidR="00E231C5" w:rsidRPr="00E231C5" w:rsidRDefault="00E231C5" w:rsidP="00E231C5">
            <w:pPr>
              <w:rPr>
                <w:rFonts w:eastAsia="Times New Roman"/>
                <w:sz w:val="20"/>
                <w:szCs w:val="20"/>
                <w:lang w:val="en-AU" w:eastAsia="en-AU"/>
              </w:rPr>
            </w:pPr>
          </w:p>
        </w:tc>
      </w:tr>
      <w:tr w:rsidR="00E231C5" w:rsidRPr="00E231C5" w14:paraId="0187ECCE" w14:textId="77777777" w:rsidTr="00E231C5">
        <w:trPr>
          <w:trHeight w:val="294"/>
          <w:jc w:val="center"/>
        </w:trPr>
        <w:tc>
          <w:tcPr>
            <w:tcW w:w="3647" w:type="dxa"/>
            <w:tcBorders>
              <w:top w:val="nil"/>
              <w:left w:val="nil"/>
              <w:bottom w:val="single" w:sz="8" w:space="0" w:color="auto"/>
              <w:right w:val="nil"/>
            </w:tcBorders>
            <w:shd w:val="clear" w:color="000000" w:fill="F2F2F2"/>
            <w:vAlign w:val="center"/>
            <w:hideMark/>
          </w:tcPr>
          <w:p w14:paraId="685AEFBE" w14:textId="77777777" w:rsidR="00E231C5" w:rsidRPr="00E231C5" w:rsidRDefault="00E231C5" w:rsidP="00E231C5">
            <w:pPr>
              <w:rPr>
                <w:rFonts w:ascii="Morningstar 1" w:eastAsia="Times New Roman" w:hAnsi="Morningstar 1" w:cs="Calibri"/>
                <w:b/>
                <w:bCs/>
                <w:color w:val="000000"/>
                <w:sz w:val="22"/>
                <w:szCs w:val="22"/>
                <w:lang w:val="en-AU" w:eastAsia="en-AU"/>
              </w:rPr>
            </w:pPr>
            <w:r w:rsidRPr="00E231C5">
              <w:rPr>
                <w:rFonts w:ascii="Morningstar 1" w:eastAsia="Times New Roman" w:hAnsi="Morningstar 1" w:cs="Calibri"/>
                <w:b/>
                <w:bCs/>
                <w:color w:val="000000"/>
                <w:sz w:val="22"/>
                <w:szCs w:val="22"/>
                <w:lang w:eastAsia="en-AU"/>
              </w:rPr>
              <w:t>Cash</w:t>
            </w:r>
          </w:p>
        </w:tc>
        <w:tc>
          <w:tcPr>
            <w:tcW w:w="2721" w:type="dxa"/>
            <w:tcBorders>
              <w:top w:val="nil"/>
              <w:left w:val="nil"/>
              <w:bottom w:val="single" w:sz="8" w:space="0" w:color="auto"/>
              <w:right w:val="nil"/>
            </w:tcBorders>
            <w:shd w:val="clear" w:color="000000" w:fill="F2F2F2"/>
            <w:vAlign w:val="center"/>
            <w:hideMark/>
          </w:tcPr>
          <w:p w14:paraId="03AC451D" w14:textId="77777777" w:rsidR="00E231C5" w:rsidRPr="00E231C5" w:rsidRDefault="00E231C5" w:rsidP="00E231C5">
            <w:pPr>
              <w:jc w:val="center"/>
              <w:rPr>
                <w:rFonts w:ascii="Morningstar 1" w:eastAsia="Times New Roman" w:hAnsi="Morningstar 1" w:cs="Calibri"/>
                <w:b/>
                <w:bCs/>
                <w:color w:val="000000"/>
                <w:sz w:val="22"/>
                <w:szCs w:val="22"/>
                <w:lang w:val="en-AU" w:eastAsia="en-AU"/>
              </w:rPr>
            </w:pPr>
            <w:r w:rsidRPr="00E231C5">
              <w:rPr>
                <w:rFonts w:ascii="Morningstar 1" w:eastAsia="Times New Roman" w:hAnsi="Morningstar 1" w:cs="Calibri"/>
                <w:b/>
                <w:bCs/>
                <w:color w:val="000000"/>
                <w:sz w:val="22"/>
                <w:szCs w:val="22"/>
                <w:lang w:eastAsia="en-AU"/>
              </w:rPr>
              <w:t> </w:t>
            </w:r>
          </w:p>
        </w:tc>
        <w:tc>
          <w:tcPr>
            <w:tcW w:w="232" w:type="dxa"/>
            <w:vAlign w:val="center"/>
            <w:hideMark/>
          </w:tcPr>
          <w:p w14:paraId="02E40B08" w14:textId="77777777" w:rsidR="00E231C5" w:rsidRPr="00E231C5" w:rsidRDefault="00E231C5" w:rsidP="00E231C5">
            <w:pPr>
              <w:rPr>
                <w:rFonts w:eastAsia="Times New Roman"/>
                <w:sz w:val="20"/>
                <w:szCs w:val="20"/>
                <w:lang w:val="en-AU" w:eastAsia="en-AU"/>
              </w:rPr>
            </w:pPr>
          </w:p>
        </w:tc>
      </w:tr>
      <w:tr w:rsidR="00E231C5" w:rsidRPr="00E231C5" w14:paraId="60D88ADC" w14:textId="77777777" w:rsidTr="00E231C5">
        <w:trPr>
          <w:trHeight w:val="294"/>
          <w:jc w:val="center"/>
        </w:trPr>
        <w:tc>
          <w:tcPr>
            <w:tcW w:w="3647" w:type="dxa"/>
            <w:tcBorders>
              <w:top w:val="nil"/>
              <w:left w:val="nil"/>
              <w:bottom w:val="single" w:sz="8" w:space="0" w:color="auto"/>
              <w:right w:val="nil"/>
            </w:tcBorders>
            <w:shd w:val="clear" w:color="auto" w:fill="auto"/>
            <w:noWrap/>
            <w:vAlign w:val="center"/>
            <w:hideMark/>
          </w:tcPr>
          <w:p w14:paraId="56944579" w14:textId="77777777" w:rsidR="00E231C5" w:rsidRPr="00E231C5" w:rsidRDefault="00E231C5" w:rsidP="00E231C5">
            <w:pPr>
              <w:rPr>
                <w:rFonts w:ascii="Morningstar 1" w:eastAsia="Times New Roman" w:hAnsi="Morningstar 1" w:cs="Calibri"/>
                <w:color w:val="000000"/>
                <w:sz w:val="22"/>
                <w:szCs w:val="22"/>
                <w:lang w:val="en-AU" w:eastAsia="en-AU"/>
              </w:rPr>
            </w:pPr>
            <w:r w:rsidRPr="00E231C5">
              <w:rPr>
                <w:rFonts w:ascii="Morningstar 1" w:eastAsia="Times New Roman" w:hAnsi="Morningstar 1" w:cs="Calibri"/>
                <w:color w:val="000000"/>
                <w:sz w:val="22"/>
                <w:szCs w:val="22"/>
                <w:lang w:eastAsia="en-AU"/>
              </w:rPr>
              <w:t>iShares Core Cash ETF</w:t>
            </w:r>
          </w:p>
        </w:tc>
        <w:tc>
          <w:tcPr>
            <w:tcW w:w="2721" w:type="dxa"/>
            <w:tcBorders>
              <w:top w:val="nil"/>
              <w:left w:val="nil"/>
              <w:bottom w:val="single" w:sz="8" w:space="0" w:color="auto"/>
              <w:right w:val="nil"/>
            </w:tcBorders>
            <w:shd w:val="clear" w:color="auto" w:fill="auto"/>
            <w:vAlign w:val="center"/>
            <w:hideMark/>
          </w:tcPr>
          <w:p w14:paraId="113A0AFF" w14:textId="77777777" w:rsidR="00E231C5" w:rsidRPr="00E231C5" w:rsidRDefault="00E231C5" w:rsidP="00E231C5">
            <w:pPr>
              <w:jc w:val="center"/>
              <w:rPr>
                <w:rFonts w:ascii="Morningstar 1" w:eastAsia="Times New Roman" w:hAnsi="Morningstar 1" w:cs="Calibri"/>
                <w:b/>
                <w:bCs/>
                <w:color w:val="FF0000"/>
                <w:sz w:val="22"/>
                <w:szCs w:val="22"/>
                <w:lang w:val="en-AU" w:eastAsia="en-AU"/>
              </w:rPr>
            </w:pPr>
            <w:r w:rsidRPr="00E231C5">
              <w:rPr>
                <w:rFonts w:ascii="Morningstar 1" w:eastAsia="Times New Roman" w:hAnsi="Morningstar 1" w:cs="Calibri"/>
                <w:b/>
                <w:bCs/>
                <w:color w:val="FF0000"/>
                <w:sz w:val="22"/>
                <w:szCs w:val="22"/>
                <w:lang w:eastAsia="en-AU"/>
              </w:rPr>
              <w:t>Decrease</w:t>
            </w:r>
          </w:p>
        </w:tc>
        <w:tc>
          <w:tcPr>
            <w:tcW w:w="232" w:type="dxa"/>
            <w:vAlign w:val="center"/>
            <w:hideMark/>
          </w:tcPr>
          <w:p w14:paraId="7AC48969" w14:textId="77777777" w:rsidR="00E231C5" w:rsidRPr="00E231C5" w:rsidRDefault="00E231C5" w:rsidP="00E231C5">
            <w:pPr>
              <w:rPr>
                <w:rFonts w:eastAsia="Times New Roman"/>
                <w:sz w:val="20"/>
                <w:szCs w:val="20"/>
                <w:lang w:val="en-AU" w:eastAsia="en-AU"/>
              </w:rPr>
            </w:pPr>
          </w:p>
        </w:tc>
      </w:tr>
    </w:tbl>
    <w:p w14:paraId="1DFC90C1" w14:textId="77777777" w:rsidR="006B0B80" w:rsidRPr="009C6816" w:rsidRDefault="006B0B80" w:rsidP="00484249">
      <w:pPr>
        <w:pStyle w:val="ListParagraph"/>
        <w:spacing w:after="120"/>
        <w:ind w:left="0"/>
        <w:contextualSpacing w:val="0"/>
        <w:rPr>
          <w:rFonts w:ascii="Morningstar 1" w:eastAsia="Calibri" w:hAnsi="Morningstar 1"/>
        </w:rPr>
      </w:pPr>
    </w:p>
    <w:p w14:paraId="711B6582" w14:textId="5F39AC03" w:rsidR="001123E7" w:rsidRDefault="1B2B4E6B" w:rsidP="001123E7">
      <w:pPr>
        <w:pStyle w:val="ListParagraph"/>
        <w:spacing w:after="120"/>
        <w:ind w:left="0"/>
        <w:jc w:val="both"/>
        <w:rPr>
          <w:rFonts w:ascii="Morningstar 1" w:hAnsi="Morningstar 1"/>
        </w:rPr>
      </w:pPr>
      <w:r w:rsidRPr="648E39AF">
        <w:rPr>
          <w:rFonts w:ascii="Morningstar 1" w:hAnsi="Morningstar 1"/>
        </w:rPr>
        <w:t>Regarding fixed interest, Morningstar has slightly reduced the Vanguard Australian Fixed Interest Index while</w:t>
      </w:r>
      <w:r w:rsidR="60592188" w:rsidRPr="648E39AF">
        <w:rPr>
          <w:rFonts w:ascii="Morningstar 1" w:hAnsi="Morningstar 1"/>
        </w:rPr>
        <w:t xml:space="preserve"> still</w:t>
      </w:r>
      <w:r w:rsidRPr="648E39AF">
        <w:rPr>
          <w:rFonts w:ascii="Morningstar 1" w:hAnsi="Morningstar 1"/>
        </w:rPr>
        <w:t xml:space="preserve"> maintaining a mild overweight in Australian fixed interest. Similarly, global fixed interest positions have been increased to take advantage of attractive yields and diversify the equity market.</w:t>
      </w:r>
    </w:p>
    <w:p w14:paraId="43122935" w14:textId="77777777" w:rsidR="001123E7" w:rsidRPr="001E51D6" w:rsidRDefault="001123E7" w:rsidP="001123E7">
      <w:pPr>
        <w:pStyle w:val="ListParagraph"/>
        <w:spacing w:after="120"/>
        <w:ind w:left="0"/>
        <w:jc w:val="both"/>
        <w:rPr>
          <w:rFonts w:ascii="Morningstar 1" w:hAnsi="Morningstar 1"/>
        </w:rPr>
      </w:pPr>
    </w:p>
    <w:p w14:paraId="00D52BEE" w14:textId="6A7D9D68" w:rsidR="001123E7" w:rsidRDefault="1B2B4E6B" w:rsidP="5CF6815B">
      <w:pPr>
        <w:pStyle w:val="ListParagraph"/>
        <w:spacing w:after="120"/>
        <w:ind w:left="0"/>
        <w:rPr>
          <w:rFonts w:ascii="Morningstar 1" w:hAnsi="Morningstar 1"/>
        </w:rPr>
      </w:pPr>
      <w:r w:rsidRPr="648E39AF">
        <w:rPr>
          <w:rFonts w:ascii="Morningstar 1" w:hAnsi="Morningstar 1"/>
        </w:rPr>
        <w:t xml:space="preserve">Morningstar's preference for </w:t>
      </w:r>
      <w:r w:rsidR="4F2EF686" w:rsidRPr="648E39AF">
        <w:rPr>
          <w:rFonts w:ascii="Morningstar 1" w:hAnsi="Morningstar 1"/>
        </w:rPr>
        <w:t>global over domestic equities</w:t>
      </w:r>
      <w:r w:rsidR="43A69C5E" w:rsidRPr="648E39AF">
        <w:rPr>
          <w:rFonts w:ascii="Morningstar 1" w:hAnsi="Morningstar 1"/>
        </w:rPr>
        <w:t xml:space="preserve"> </w:t>
      </w:r>
      <w:r w:rsidRPr="648E39AF">
        <w:rPr>
          <w:rFonts w:ascii="Morningstar 1" w:hAnsi="Morningstar 1"/>
        </w:rPr>
        <w:t xml:space="preserve">persists, contributing to the </w:t>
      </w:r>
      <w:r w:rsidR="1B7DC87A" w:rsidRPr="648E39AF">
        <w:rPr>
          <w:rFonts w:ascii="Morningstar 1" w:hAnsi="Morningstar 1"/>
        </w:rPr>
        <w:t xml:space="preserve">sector </w:t>
      </w:r>
      <w:r w:rsidRPr="648E39AF">
        <w:rPr>
          <w:rFonts w:ascii="Morningstar 1" w:hAnsi="Morningstar 1"/>
        </w:rPr>
        <w:t>diversification of your portfolio. Although overall exposure to equities has been increased</w:t>
      </w:r>
      <w:r w:rsidR="2D23A7C0" w:rsidRPr="648E39AF">
        <w:rPr>
          <w:rFonts w:ascii="Morningstar 1" w:hAnsi="Morningstar 1"/>
        </w:rPr>
        <w:t xml:space="preserve"> as part of the new SAA</w:t>
      </w:r>
      <w:r w:rsidRPr="648E39AF">
        <w:rPr>
          <w:rFonts w:ascii="Morningstar 1" w:hAnsi="Morningstar 1"/>
        </w:rPr>
        <w:t xml:space="preserve">, </w:t>
      </w:r>
      <w:r w:rsidR="6D734ECE" w:rsidRPr="648E39AF">
        <w:rPr>
          <w:rFonts w:ascii="Morningstar 1" w:hAnsi="Morningstar 1"/>
        </w:rPr>
        <w:t xml:space="preserve">stock </w:t>
      </w:r>
      <w:r w:rsidRPr="648E39AF">
        <w:rPr>
          <w:rFonts w:ascii="Morningstar 1" w:hAnsi="Morningstar 1"/>
        </w:rPr>
        <w:t xml:space="preserve">allocations are </w:t>
      </w:r>
      <w:r w:rsidR="0016237E">
        <w:rPr>
          <w:rFonts w:ascii="Morningstar 1" w:hAnsi="Morningstar 1"/>
        </w:rPr>
        <w:t>more diversified</w:t>
      </w:r>
      <w:r w:rsidRPr="648E39AF">
        <w:rPr>
          <w:rFonts w:ascii="Morningstar 1" w:hAnsi="Morningstar 1"/>
        </w:rPr>
        <w:t xml:space="preserve"> due to prevailing high valuations</w:t>
      </w:r>
      <w:r w:rsidR="792E1A8A" w:rsidRPr="648E39AF">
        <w:rPr>
          <w:rFonts w:ascii="Morningstar 1" w:hAnsi="Morningstar 1"/>
        </w:rPr>
        <w:t xml:space="preserve"> of the market</w:t>
      </w:r>
      <w:r w:rsidRPr="648E39AF">
        <w:rPr>
          <w:rFonts w:ascii="Morningstar 1" w:hAnsi="Morningstar 1"/>
        </w:rPr>
        <w:t xml:space="preserve">. </w:t>
      </w:r>
    </w:p>
    <w:p w14:paraId="283451F6" w14:textId="0CFEC147" w:rsidR="001123E7" w:rsidRDefault="001123E7" w:rsidP="5CF6815B">
      <w:pPr>
        <w:pStyle w:val="ListParagraph"/>
        <w:spacing w:after="120"/>
        <w:ind w:left="0"/>
        <w:rPr>
          <w:rFonts w:ascii="Morningstar 1" w:hAnsi="Morningstar 1"/>
        </w:rPr>
      </w:pPr>
    </w:p>
    <w:p w14:paraId="2AC3BABC" w14:textId="2BA4249B" w:rsidR="001123E7" w:rsidRDefault="001123E7" w:rsidP="001123E7">
      <w:pPr>
        <w:pStyle w:val="ListParagraph"/>
        <w:spacing w:after="120"/>
        <w:ind w:left="0"/>
        <w:rPr>
          <w:rFonts w:ascii="Morningstar 1" w:hAnsi="Morningstar 1"/>
        </w:rPr>
      </w:pPr>
      <w:r w:rsidRPr="00036D1B">
        <w:rPr>
          <w:rFonts w:ascii="Morningstar 1" w:hAnsi="Morningstar 1"/>
        </w:rPr>
        <w:t xml:space="preserve">Your investments in property and infrastructure have been </w:t>
      </w:r>
      <w:r w:rsidR="0016237E">
        <w:rPr>
          <w:rFonts w:ascii="Morningstar 1" w:hAnsi="Morningstar 1"/>
        </w:rPr>
        <w:t>adjusted</w:t>
      </w:r>
      <w:r w:rsidRPr="00036D1B">
        <w:rPr>
          <w:rFonts w:ascii="Morningstar 1" w:hAnsi="Morningstar 1"/>
        </w:rPr>
        <w:t>, with some reductions made while maintaining a prudent level of exposure to capitalise on current opportunities.</w:t>
      </w:r>
    </w:p>
    <w:p w14:paraId="31DF8807" w14:textId="77777777" w:rsidR="001123E7" w:rsidRPr="001E51D6" w:rsidRDefault="001123E7" w:rsidP="001123E7">
      <w:pPr>
        <w:pStyle w:val="ListParagraph"/>
        <w:spacing w:after="120"/>
        <w:ind w:left="0"/>
        <w:rPr>
          <w:rFonts w:ascii="Morningstar 1" w:hAnsi="Morningstar 1"/>
        </w:rPr>
      </w:pPr>
    </w:p>
    <w:p w14:paraId="3DE9765F" w14:textId="0435D071" w:rsidR="0A1A87C4" w:rsidRDefault="464BC2E0" w:rsidP="006F6FF2">
      <w:pPr>
        <w:spacing w:after="120"/>
        <w:rPr>
          <w:rFonts w:ascii="Morningstar 1" w:eastAsia="Calibri" w:hAnsi="Morningstar 1"/>
        </w:rPr>
      </w:pPr>
      <w:r w:rsidRPr="5CF6815B">
        <w:rPr>
          <w:rFonts w:ascii="Morningstar 1" w:eastAsia="Calibri" w:hAnsi="Morningstar 1"/>
          <w:sz w:val="22"/>
          <w:szCs w:val="22"/>
        </w:rPr>
        <w:t xml:space="preserve"> As always, please let me know if you have any questions or if I can be of any assistance.</w:t>
      </w:r>
    </w:p>
    <w:p w14:paraId="0858A090" w14:textId="77777777" w:rsidR="00E14889" w:rsidRPr="009C6816" w:rsidRDefault="00E14889" w:rsidP="00E14889">
      <w:pPr>
        <w:rPr>
          <w:rFonts w:ascii="Morningstar 1" w:eastAsia="Calibri" w:hAnsi="Morningstar 1"/>
          <w:sz w:val="22"/>
          <w:szCs w:val="22"/>
        </w:rPr>
      </w:pPr>
    </w:p>
    <w:p w14:paraId="10EEEE18" w14:textId="35F22860" w:rsidR="00E14889" w:rsidRPr="009C6816" w:rsidRDefault="00E14889" w:rsidP="00B72C69">
      <w:pPr>
        <w:spacing w:after="120"/>
        <w:rPr>
          <w:rFonts w:ascii="Morningstar 1" w:eastAsia="Calibri" w:hAnsi="Morningstar 1"/>
          <w:sz w:val="22"/>
          <w:szCs w:val="22"/>
        </w:rPr>
      </w:pPr>
      <w:r w:rsidRPr="009C6816">
        <w:rPr>
          <w:rFonts w:ascii="Morningstar 1" w:eastAsia="Calibri" w:hAnsi="Morningstar 1"/>
          <w:sz w:val="22"/>
          <w:szCs w:val="22"/>
        </w:rPr>
        <w:t>Regards</w:t>
      </w:r>
      <w:r w:rsidR="7D8B9E80" w:rsidRPr="5CF6815B">
        <w:rPr>
          <w:rFonts w:ascii="Morningstar 1" w:eastAsia="Calibri" w:hAnsi="Morningstar 1"/>
          <w:sz w:val="22"/>
          <w:szCs w:val="22"/>
        </w:rPr>
        <w:t>,</w:t>
      </w:r>
    </w:p>
    <w:p w14:paraId="72B507D4" w14:textId="4A094A32" w:rsidR="5CF6815B" w:rsidRDefault="5CF6815B" w:rsidP="5CF6815B">
      <w:pPr>
        <w:spacing w:after="120"/>
        <w:rPr>
          <w:rFonts w:ascii="Morningstar 1" w:eastAsia="Calibri" w:hAnsi="Morningstar 1"/>
          <w:sz w:val="22"/>
          <w:szCs w:val="22"/>
        </w:rPr>
      </w:pPr>
    </w:p>
    <w:p w14:paraId="3930B65B" w14:textId="77777777" w:rsidR="00E14889" w:rsidRPr="009C6816" w:rsidRDefault="00E14889" w:rsidP="00B72C69">
      <w:pPr>
        <w:spacing w:after="120"/>
        <w:rPr>
          <w:rFonts w:ascii="Morningstar 1" w:eastAsia="Calibri" w:hAnsi="Morningstar 1"/>
          <w:sz w:val="22"/>
          <w:szCs w:val="22"/>
        </w:rPr>
      </w:pPr>
      <w:r w:rsidRPr="009C6816">
        <w:rPr>
          <w:rFonts w:ascii="Morningstar 1" w:eastAsia="Calibri" w:hAnsi="Morningstar 1"/>
          <w:sz w:val="22"/>
          <w:szCs w:val="22"/>
        </w:rPr>
        <w:t>Adviser</w:t>
      </w:r>
    </w:p>
    <w:p w14:paraId="693257BA" w14:textId="6D9D699D" w:rsidR="5CF6815B" w:rsidRDefault="5CF6815B" w:rsidP="5CF6815B">
      <w:pPr>
        <w:spacing w:after="160" w:line="259" w:lineRule="auto"/>
        <w:rPr>
          <w:rFonts w:ascii="Morningstar 1" w:eastAsia="Calibri" w:hAnsi="Morningstar 1"/>
          <w:b/>
          <w:bCs/>
          <w:color w:val="FF0000"/>
          <w:sz w:val="22"/>
          <w:szCs w:val="22"/>
        </w:rPr>
      </w:pPr>
    </w:p>
    <w:p w14:paraId="7A69ABDF" w14:textId="77777777" w:rsidR="0024096E" w:rsidRDefault="0024096E" w:rsidP="5CF6815B">
      <w:pPr>
        <w:spacing w:after="160" w:line="259" w:lineRule="auto"/>
        <w:rPr>
          <w:rFonts w:ascii="Morningstar 1" w:eastAsia="Calibri" w:hAnsi="Morningstar 1"/>
          <w:b/>
          <w:bCs/>
          <w:color w:val="FF0000"/>
          <w:sz w:val="22"/>
          <w:szCs w:val="22"/>
        </w:rPr>
      </w:pPr>
    </w:p>
    <w:p w14:paraId="51A7AB58" w14:textId="3C12EBBC" w:rsidR="007416A8" w:rsidRPr="009C6816" w:rsidRDefault="007416A8" w:rsidP="007416A8">
      <w:pPr>
        <w:spacing w:after="160" w:line="259" w:lineRule="auto"/>
        <w:rPr>
          <w:rFonts w:ascii="Morningstar 1" w:eastAsia="Calibri" w:hAnsi="Morningstar 1"/>
          <w:b/>
          <w:bCs/>
          <w:color w:val="FF0000"/>
          <w:sz w:val="22"/>
          <w:szCs w:val="22"/>
        </w:rPr>
      </w:pPr>
      <w:r w:rsidRPr="009C6816">
        <w:rPr>
          <w:rFonts w:ascii="Morningstar 1" w:eastAsia="Calibri" w:hAnsi="Morningstar 1"/>
          <w:b/>
          <w:bCs/>
          <w:color w:val="FF0000"/>
          <w:sz w:val="22"/>
          <w:szCs w:val="22"/>
        </w:rPr>
        <w:lastRenderedPageBreak/>
        <w:t>Conservative</w:t>
      </w:r>
    </w:p>
    <w:p w14:paraId="6795665A" w14:textId="77777777" w:rsidR="00484249" w:rsidRPr="009C6816" w:rsidRDefault="00484249">
      <w:pPr>
        <w:spacing w:after="120" w:line="259" w:lineRule="auto"/>
        <w:rPr>
          <w:rFonts w:ascii="Morningstar 1" w:eastAsia="Calibri" w:hAnsi="Morningstar 1"/>
          <w:sz w:val="22"/>
          <w:szCs w:val="22"/>
        </w:rPr>
      </w:pPr>
      <w:r w:rsidRPr="009C6816">
        <w:rPr>
          <w:rFonts w:ascii="Morningstar 1" w:eastAsia="Calibri" w:hAnsi="Morningstar 1"/>
          <w:sz w:val="22"/>
          <w:szCs w:val="22"/>
        </w:rPr>
        <w:t>Dear Client,</w:t>
      </w:r>
    </w:p>
    <w:p w14:paraId="5F5D6219" w14:textId="77777777" w:rsidR="00AC11E2" w:rsidRPr="009C6816" w:rsidRDefault="00AC11E2" w:rsidP="00AC11E2">
      <w:pPr>
        <w:pStyle w:val="ListParagraph"/>
        <w:spacing w:after="120"/>
        <w:ind w:left="0"/>
        <w:rPr>
          <w:rFonts w:ascii="Morningstar 1" w:hAnsi="Morningstar 1"/>
          <w:lang w:val="en-AU"/>
        </w:rPr>
      </w:pPr>
      <w:r w:rsidRPr="009C6816">
        <w:rPr>
          <w:rFonts w:ascii="Morningstar 1" w:hAnsi="Morningstar 1"/>
          <w:lang w:val="en-AU"/>
        </w:rPr>
        <w:t>Morningstar has made changes to the Morningstar Medalist Core Portfolios in April. The changes are designed to reflect our best ideas from an asset allocation, manager selection and manager allocation perspective while adhering to our approach to active/passive optimisation, i.e. only taking an active manager risk where the odds are in our favour to achieve a suitable level of alpha over the medium term.</w:t>
      </w:r>
    </w:p>
    <w:p w14:paraId="79262204" w14:textId="77777777" w:rsidR="0024096E" w:rsidRDefault="0024096E" w:rsidP="00484249">
      <w:pPr>
        <w:pStyle w:val="ListParagraph"/>
        <w:spacing w:after="120"/>
        <w:ind w:left="0"/>
        <w:contextualSpacing w:val="0"/>
        <w:rPr>
          <w:rFonts w:ascii="Morningstar 1" w:eastAsia="Calibri" w:hAnsi="Morningstar 1"/>
        </w:rPr>
      </w:pPr>
    </w:p>
    <w:p w14:paraId="1902F712" w14:textId="6626CA27" w:rsidR="00484249" w:rsidRPr="009C6816" w:rsidRDefault="00484249" w:rsidP="00484249">
      <w:pPr>
        <w:pStyle w:val="ListParagraph"/>
        <w:spacing w:after="120"/>
        <w:ind w:left="0"/>
        <w:contextualSpacing w:val="0"/>
        <w:rPr>
          <w:rFonts w:ascii="Morningstar 1" w:eastAsia="Calibri" w:hAnsi="Morningstar 1"/>
        </w:rPr>
      </w:pPr>
      <w:r w:rsidRPr="009C6816">
        <w:rPr>
          <w:rFonts w:ascii="Morningstar 1" w:eastAsia="Calibri" w:hAnsi="Morningstar 1"/>
        </w:rPr>
        <w:t xml:space="preserve">I have summarised these trades below: </w:t>
      </w:r>
    </w:p>
    <w:tbl>
      <w:tblPr>
        <w:tblW w:w="6484" w:type="dxa"/>
        <w:jc w:val="center"/>
        <w:tblLook w:val="04A0" w:firstRow="1" w:lastRow="0" w:firstColumn="1" w:lastColumn="0" w:noHBand="0" w:noVBand="1"/>
      </w:tblPr>
      <w:tblGrid>
        <w:gridCol w:w="3261"/>
        <w:gridCol w:w="2693"/>
        <w:gridCol w:w="530"/>
      </w:tblGrid>
      <w:tr w:rsidR="0024096E" w:rsidRPr="0024096E" w14:paraId="193D42C5" w14:textId="77777777" w:rsidTr="0024096E">
        <w:trPr>
          <w:gridAfter w:val="1"/>
          <w:wAfter w:w="530" w:type="dxa"/>
          <w:trHeight w:val="464"/>
          <w:jc w:val="center"/>
        </w:trPr>
        <w:tc>
          <w:tcPr>
            <w:tcW w:w="3261" w:type="dxa"/>
            <w:vMerge w:val="restart"/>
            <w:tcBorders>
              <w:top w:val="single" w:sz="8" w:space="0" w:color="auto"/>
              <w:left w:val="nil"/>
              <w:bottom w:val="nil"/>
              <w:right w:val="nil"/>
            </w:tcBorders>
            <w:shd w:val="clear" w:color="000000" w:fill="D9D9D9"/>
            <w:vAlign w:val="center"/>
            <w:hideMark/>
          </w:tcPr>
          <w:p w14:paraId="47E0ED14" w14:textId="77777777" w:rsidR="0024096E" w:rsidRPr="0024096E" w:rsidRDefault="0024096E" w:rsidP="0024096E">
            <w:pPr>
              <w:rPr>
                <w:rFonts w:ascii="Morningstar 1" w:eastAsia="Times New Roman" w:hAnsi="Morningstar 1" w:cs="Calibri"/>
                <w:b/>
                <w:bCs/>
                <w:color w:val="000000"/>
                <w:sz w:val="22"/>
                <w:szCs w:val="22"/>
                <w:lang w:val="en-AU" w:eastAsia="en-AU"/>
              </w:rPr>
            </w:pPr>
            <w:r w:rsidRPr="0024096E">
              <w:rPr>
                <w:rFonts w:ascii="Morningstar 1" w:eastAsia="Times New Roman" w:hAnsi="Morningstar 1" w:cs="Calibri"/>
                <w:b/>
                <w:bCs/>
                <w:color w:val="000000"/>
                <w:sz w:val="22"/>
                <w:szCs w:val="22"/>
                <w:lang w:eastAsia="en-AU"/>
              </w:rPr>
              <w:t xml:space="preserve">Security </w:t>
            </w:r>
          </w:p>
        </w:tc>
        <w:tc>
          <w:tcPr>
            <w:tcW w:w="2693" w:type="dxa"/>
            <w:vMerge w:val="restart"/>
            <w:tcBorders>
              <w:top w:val="single" w:sz="8" w:space="0" w:color="auto"/>
              <w:left w:val="nil"/>
              <w:bottom w:val="nil"/>
              <w:right w:val="nil"/>
            </w:tcBorders>
            <w:shd w:val="clear" w:color="000000" w:fill="D9D9D9"/>
            <w:vAlign w:val="center"/>
            <w:hideMark/>
          </w:tcPr>
          <w:p w14:paraId="1AF3E24C" w14:textId="77777777" w:rsidR="0024096E" w:rsidRPr="0024096E" w:rsidRDefault="0024096E" w:rsidP="0024096E">
            <w:pPr>
              <w:jc w:val="center"/>
              <w:rPr>
                <w:rFonts w:ascii="Morningstar 1" w:eastAsia="Times New Roman" w:hAnsi="Morningstar 1" w:cs="Calibri"/>
                <w:b/>
                <w:bCs/>
                <w:color w:val="000000"/>
                <w:sz w:val="22"/>
                <w:szCs w:val="22"/>
                <w:lang w:val="en-AU" w:eastAsia="en-AU"/>
              </w:rPr>
            </w:pPr>
            <w:r w:rsidRPr="0024096E">
              <w:rPr>
                <w:rFonts w:ascii="Morningstar 1" w:eastAsia="Times New Roman" w:hAnsi="Morningstar 1" w:cs="Calibri"/>
                <w:b/>
                <w:bCs/>
                <w:color w:val="000000"/>
                <w:sz w:val="22"/>
                <w:szCs w:val="22"/>
                <w:lang w:eastAsia="en-AU"/>
              </w:rPr>
              <w:t xml:space="preserve">Portfolio Action </w:t>
            </w:r>
          </w:p>
        </w:tc>
      </w:tr>
      <w:tr w:rsidR="0024096E" w:rsidRPr="0024096E" w14:paraId="340FC6BE" w14:textId="77777777" w:rsidTr="0024096E">
        <w:trPr>
          <w:trHeight w:val="58"/>
          <w:jc w:val="center"/>
        </w:trPr>
        <w:tc>
          <w:tcPr>
            <w:tcW w:w="3261" w:type="dxa"/>
            <w:vMerge/>
            <w:tcBorders>
              <w:top w:val="single" w:sz="8" w:space="0" w:color="auto"/>
              <w:left w:val="nil"/>
              <w:bottom w:val="nil"/>
              <w:right w:val="nil"/>
            </w:tcBorders>
            <w:vAlign w:val="center"/>
            <w:hideMark/>
          </w:tcPr>
          <w:p w14:paraId="5E374C24" w14:textId="77777777" w:rsidR="0024096E" w:rsidRPr="0024096E" w:rsidRDefault="0024096E" w:rsidP="0024096E">
            <w:pPr>
              <w:rPr>
                <w:rFonts w:ascii="Morningstar 1" w:eastAsia="Times New Roman" w:hAnsi="Morningstar 1" w:cs="Calibri"/>
                <w:b/>
                <w:bCs/>
                <w:color w:val="000000"/>
                <w:sz w:val="22"/>
                <w:szCs w:val="22"/>
                <w:lang w:val="en-AU" w:eastAsia="en-AU"/>
              </w:rPr>
            </w:pPr>
          </w:p>
        </w:tc>
        <w:tc>
          <w:tcPr>
            <w:tcW w:w="2693" w:type="dxa"/>
            <w:vMerge/>
            <w:tcBorders>
              <w:top w:val="single" w:sz="8" w:space="0" w:color="auto"/>
              <w:left w:val="nil"/>
              <w:bottom w:val="nil"/>
              <w:right w:val="nil"/>
            </w:tcBorders>
            <w:vAlign w:val="center"/>
            <w:hideMark/>
          </w:tcPr>
          <w:p w14:paraId="0A70F359" w14:textId="77777777" w:rsidR="0024096E" w:rsidRPr="0024096E" w:rsidRDefault="0024096E" w:rsidP="0024096E">
            <w:pPr>
              <w:rPr>
                <w:rFonts w:ascii="Morningstar 1" w:eastAsia="Times New Roman" w:hAnsi="Morningstar 1" w:cs="Calibri"/>
                <w:b/>
                <w:bCs/>
                <w:color w:val="000000"/>
                <w:sz w:val="22"/>
                <w:szCs w:val="22"/>
                <w:lang w:val="en-AU" w:eastAsia="en-AU"/>
              </w:rPr>
            </w:pPr>
          </w:p>
        </w:tc>
        <w:tc>
          <w:tcPr>
            <w:tcW w:w="530" w:type="dxa"/>
            <w:tcBorders>
              <w:top w:val="nil"/>
              <w:left w:val="nil"/>
              <w:bottom w:val="nil"/>
              <w:right w:val="nil"/>
            </w:tcBorders>
            <w:shd w:val="clear" w:color="auto" w:fill="auto"/>
            <w:noWrap/>
            <w:vAlign w:val="bottom"/>
            <w:hideMark/>
          </w:tcPr>
          <w:p w14:paraId="2A3450E2" w14:textId="77777777" w:rsidR="0024096E" w:rsidRPr="0024096E" w:rsidRDefault="0024096E" w:rsidP="0024096E">
            <w:pPr>
              <w:jc w:val="center"/>
              <w:rPr>
                <w:rFonts w:ascii="Morningstar 1" w:eastAsia="Times New Roman" w:hAnsi="Morningstar 1" w:cs="Calibri"/>
                <w:b/>
                <w:bCs/>
                <w:color w:val="000000"/>
                <w:sz w:val="22"/>
                <w:szCs w:val="22"/>
                <w:lang w:val="en-AU" w:eastAsia="en-AU"/>
              </w:rPr>
            </w:pPr>
          </w:p>
        </w:tc>
      </w:tr>
      <w:tr w:rsidR="0024096E" w:rsidRPr="0024096E" w14:paraId="1F3B0B8D" w14:textId="77777777" w:rsidTr="0024096E">
        <w:trPr>
          <w:trHeight w:val="296"/>
          <w:jc w:val="center"/>
        </w:trPr>
        <w:tc>
          <w:tcPr>
            <w:tcW w:w="3261" w:type="dxa"/>
            <w:tcBorders>
              <w:top w:val="nil"/>
              <w:left w:val="nil"/>
              <w:bottom w:val="single" w:sz="8" w:space="0" w:color="auto"/>
              <w:right w:val="nil"/>
            </w:tcBorders>
            <w:shd w:val="clear" w:color="000000" w:fill="F2F2F2"/>
            <w:vAlign w:val="center"/>
            <w:hideMark/>
          </w:tcPr>
          <w:p w14:paraId="5C483C4A" w14:textId="77777777" w:rsidR="0024096E" w:rsidRPr="0024096E" w:rsidRDefault="0024096E" w:rsidP="0024096E">
            <w:pPr>
              <w:rPr>
                <w:rFonts w:ascii="Morningstar 1" w:eastAsia="Times New Roman" w:hAnsi="Morningstar 1" w:cs="Calibri"/>
                <w:b/>
                <w:bCs/>
                <w:color w:val="000000"/>
                <w:sz w:val="22"/>
                <w:szCs w:val="22"/>
                <w:lang w:val="en-AU" w:eastAsia="en-AU"/>
              </w:rPr>
            </w:pPr>
            <w:r w:rsidRPr="0024096E">
              <w:rPr>
                <w:rFonts w:ascii="Morningstar 1" w:eastAsia="Times New Roman" w:hAnsi="Morningstar 1" w:cs="Calibri"/>
                <w:b/>
                <w:bCs/>
                <w:color w:val="000000"/>
                <w:sz w:val="22"/>
                <w:szCs w:val="22"/>
                <w:lang w:eastAsia="en-AU"/>
              </w:rPr>
              <w:t>Australian Shares</w:t>
            </w:r>
          </w:p>
        </w:tc>
        <w:tc>
          <w:tcPr>
            <w:tcW w:w="2693" w:type="dxa"/>
            <w:tcBorders>
              <w:top w:val="nil"/>
              <w:left w:val="nil"/>
              <w:bottom w:val="single" w:sz="8" w:space="0" w:color="auto"/>
              <w:right w:val="nil"/>
            </w:tcBorders>
            <w:shd w:val="clear" w:color="000000" w:fill="F2F2F2"/>
            <w:vAlign w:val="center"/>
            <w:hideMark/>
          </w:tcPr>
          <w:p w14:paraId="5A3DD7D8" w14:textId="77777777" w:rsidR="0024096E" w:rsidRPr="0024096E" w:rsidRDefault="0024096E" w:rsidP="0024096E">
            <w:pPr>
              <w:jc w:val="center"/>
              <w:rPr>
                <w:rFonts w:ascii="Morningstar 1" w:eastAsia="Times New Roman" w:hAnsi="Morningstar 1" w:cs="Calibri"/>
                <w:b/>
                <w:bCs/>
                <w:color w:val="00B050"/>
                <w:sz w:val="22"/>
                <w:szCs w:val="22"/>
                <w:lang w:val="en-AU" w:eastAsia="en-AU"/>
              </w:rPr>
            </w:pPr>
            <w:r w:rsidRPr="0024096E">
              <w:rPr>
                <w:rFonts w:ascii="Morningstar 1" w:eastAsia="Times New Roman" w:hAnsi="Morningstar 1" w:cs="Calibri"/>
                <w:b/>
                <w:bCs/>
                <w:color w:val="00B050"/>
                <w:sz w:val="22"/>
                <w:szCs w:val="22"/>
                <w:lang w:eastAsia="en-AU"/>
              </w:rPr>
              <w:t> </w:t>
            </w:r>
          </w:p>
        </w:tc>
        <w:tc>
          <w:tcPr>
            <w:tcW w:w="530" w:type="dxa"/>
            <w:vAlign w:val="center"/>
            <w:hideMark/>
          </w:tcPr>
          <w:p w14:paraId="118E6811" w14:textId="77777777" w:rsidR="0024096E" w:rsidRPr="0024096E" w:rsidRDefault="0024096E" w:rsidP="0024096E">
            <w:pPr>
              <w:rPr>
                <w:rFonts w:eastAsia="Times New Roman"/>
                <w:sz w:val="20"/>
                <w:szCs w:val="20"/>
                <w:lang w:val="en-AU" w:eastAsia="en-AU"/>
              </w:rPr>
            </w:pPr>
          </w:p>
        </w:tc>
      </w:tr>
      <w:tr w:rsidR="0024096E" w:rsidRPr="0024096E" w14:paraId="28A57E3A" w14:textId="77777777" w:rsidTr="0024096E">
        <w:trPr>
          <w:trHeight w:val="296"/>
          <w:jc w:val="center"/>
        </w:trPr>
        <w:tc>
          <w:tcPr>
            <w:tcW w:w="3261" w:type="dxa"/>
            <w:tcBorders>
              <w:top w:val="nil"/>
              <w:left w:val="nil"/>
              <w:bottom w:val="single" w:sz="8" w:space="0" w:color="auto"/>
              <w:right w:val="nil"/>
            </w:tcBorders>
            <w:shd w:val="clear" w:color="auto" w:fill="auto"/>
            <w:noWrap/>
            <w:vAlign w:val="center"/>
            <w:hideMark/>
          </w:tcPr>
          <w:p w14:paraId="3736DC9E" w14:textId="77777777" w:rsidR="0024096E" w:rsidRPr="0024096E" w:rsidRDefault="0024096E" w:rsidP="0024096E">
            <w:pPr>
              <w:rPr>
                <w:rFonts w:ascii="Morningstar 1" w:eastAsia="Times New Roman" w:hAnsi="Morningstar 1" w:cs="Calibri"/>
                <w:color w:val="000000"/>
                <w:sz w:val="22"/>
                <w:szCs w:val="22"/>
                <w:lang w:val="en-AU" w:eastAsia="en-AU"/>
              </w:rPr>
            </w:pPr>
            <w:r w:rsidRPr="0024096E">
              <w:rPr>
                <w:rFonts w:ascii="Morningstar 1" w:eastAsia="Times New Roman" w:hAnsi="Morningstar 1" w:cs="Calibri"/>
                <w:color w:val="000000"/>
                <w:sz w:val="22"/>
                <w:szCs w:val="22"/>
                <w:lang w:eastAsia="en-AU"/>
              </w:rPr>
              <w:t>Fidelity Australian Equities</w:t>
            </w:r>
          </w:p>
        </w:tc>
        <w:tc>
          <w:tcPr>
            <w:tcW w:w="2693" w:type="dxa"/>
            <w:tcBorders>
              <w:top w:val="nil"/>
              <w:left w:val="nil"/>
              <w:bottom w:val="single" w:sz="8" w:space="0" w:color="auto"/>
              <w:right w:val="nil"/>
            </w:tcBorders>
            <w:shd w:val="clear" w:color="auto" w:fill="auto"/>
            <w:vAlign w:val="center"/>
            <w:hideMark/>
          </w:tcPr>
          <w:p w14:paraId="4EBA5C4F" w14:textId="77777777" w:rsidR="0024096E" w:rsidRPr="0024096E" w:rsidRDefault="0024096E" w:rsidP="0024096E">
            <w:pPr>
              <w:jc w:val="center"/>
              <w:rPr>
                <w:rFonts w:ascii="Morningstar 1" w:eastAsia="Times New Roman" w:hAnsi="Morningstar 1" w:cs="Calibri"/>
                <w:b/>
                <w:bCs/>
                <w:color w:val="FF0000"/>
                <w:sz w:val="22"/>
                <w:szCs w:val="22"/>
                <w:lang w:val="en-AU" w:eastAsia="en-AU"/>
              </w:rPr>
            </w:pPr>
            <w:r w:rsidRPr="0024096E">
              <w:rPr>
                <w:rFonts w:ascii="Morningstar 1" w:eastAsia="Times New Roman" w:hAnsi="Morningstar 1" w:cs="Calibri"/>
                <w:b/>
                <w:bCs/>
                <w:color w:val="FF0000"/>
                <w:sz w:val="22"/>
                <w:szCs w:val="22"/>
                <w:lang w:eastAsia="en-AU"/>
              </w:rPr>
              <w:t>Decrease</w:t>
            </w:r>
          </w:p>
        </w:tc>
        <w:tc>
          <w:tcPr>
            <w:tcW w:w="530" w:type="dxa"/>
            <w:vAlign w:val="center"/>
            <w:hideMark/>
          </w:tcPr>
          <w:p w14:paraId="5E742467" w14:textId="77777777" w:rsidR="0024096E" w:rsidRPr="0024096E" w:rsidRDefault="0024096E" w:rsidP="0024096E">
            <w:pPr>
              <w:rPr>
                <w:rFonts w:eastAsia="Times New Roman"/>
                <w:sz w:val="20"/>
                <w:szCs w:val="20"/>
                <w:lang w:val="en-AU" w:eastAsia="en-AU"/>
              </w:rPr>
            </w:pPr>
          </w:p>
        </w:tc>
      </w:tr>
      <w:tr w:rsidR="0024096E" w:rsidRPr="0024096E" w14:paraId="359009CF" w14:textId="77777777" w:rsidTr="0024096E">
        <w:trPr>
          <w:trHeight w:val="296"/>
          <w:jc w:val="center"/>
        </w:trPr>
        <w:tc>
          <w:tcPr>
            <w:tcW w:w="3261" w:type="dxa"/>
            <w:tcBorders>
              <w:top w:val="nil"/>
              <w:left w:val="nil"/>
              <w:bottom w:val="single" w:sz="8" w:space="0" w:color="auto"/>
              <w:right w:val="nil"/>
            </w:tcBorders>
            <w:shd w:val="clear" w:color="000000" w:fill="F2F2F2"/>
            <w:vAlign w:val="center"/>
            <w:hideMark/>
          </w:tcPr>
          <w:p w14:paraId="6FE845BE" w14:textId="77777777" w:rsidR="0024096E" w:rsidRPr="0024096E" w:rsidRDefault="0024096E" w:rsidP="0024096E">
            <w:pPr>
              <w:rPr>
                <w:rFonts w:ascii="Morningstar 1" w:eastAsia="Times New Roman" w:hAnsi="Morningstar 1" w:cs="Calibri"/>
                <w:b/>
                <w:bCs/>
                <w:color w:val="000000"/>
                <w:sz w:val="22"/>
                <w:szCs w:val="22"/>
                <w:lang w:val="en-AU" w:eastAsia="en-AU"/>
              </w:rPr>
            </w:pPr>
            <w:r w:rsidRPr="0024096E">
              <w:rPr>
                <w:rFonts w:ascii="Morningstar 1" w:eastAsia="Times New Roman" w:hAnsi="Morningstar 1" w:cs="Calibri"/>
                <w:b/>
                <w:bCs/>
                <w:color w:val="000000"/>
                <w:sz w:val="22"/>
                <w:szCs w:val="22"/>
                <w:lang w:eastAsia="en-AU"/>
              </w:rPr>
              <w:t>International Shares</w:t>
            </w:r>
          </w:p>
        </w:tc>
        <w:tc>
          <w:tcPr>
            <w:tcW w:w="2693" w:type="dxa"/>
            <w:tcBorders>
              <w:top w:val="nil"/>
              <w:left w:val="nil"/>
              <w:bottom w:val="single" w:sz="8" w:space="0" w:color="auto"/>
              <w:right w:val="nil"/>
            </w:tcBorders>
            <w:shd w:val="clear" w:color="000000" w:fill="F2F2F2"/>
            <w:vAlign w:val="center"/>
            <w:hideMark/>
          </w:tcPr>
          <w:p w14:paraId="3CC87F96" w14:textId="77777777" w:rsidR="0024096E" w:rsidRPr="0024096E" w:rsidRDefault="0024096E" w:rsidP="0024096E">
            <w:pPr>
              <w:jc w:val="center"/>
              <w:rPr>
                <w:rFonts w:ascii="Morningstar 1" w:eastAsia="Times New Roman" w:hAnsi="Morningstar 1" w:cs="Calibri"/>
                <w:b/>
                <w:bCs/>
                <w:color w:val="00B050"/>
                <w:sz w:val="22"/>
                <w:szCs w:val="22"/>
                <w:lang w:val="en-AU" w:eastAsia="en-AU"/>
              </w:rPr>
            </w:pPr>
            <w:r w:rsidRPr="0024096E">
              <w:rPr>
                <w:rFonts w:ascii="Morningstar 1" w:eastAsia="Times New Roman" w:hAnsi="Morningstar 1" w:cs="Calibri"/>
                <w:b/>
                <w:bCs/>
                <w:color w:val="00B050"/>
                <w:sz w:val="22"/>
                <w:szCs w:val="22"/>
                <w:lang w:eastAsia="en-AU"/>
              </w:rPr>
              <w:t> </w:t>
            </w:r>
          </w:p>
        </w:tc>
        <w:tc>
          <w:tcPr>
            <w:tcW w:w="530" w:type="dxa"/>
            <w:vAlign w:val="center"/>
            <w:hideMark/>
          </w:tcPr>
          <w:p w14:paraId="72D3772E" w14:textId="77777777" w:rsidR="0024096E" w:rsidRPr="0024096E" w:rsidRDefault="0024096E" w:rsidP="0024096E">
            <w:pPr>
              <w:rPr>
                <w:rFonts w:eastAsia="Times New Roman"/>
                <w:sz w:val="20"/>
                <w:szCs w:val="20"/>
                <w:lang w:val="en-AU" w:eastAsia="en-AU"/>
              </w:rPr>
            </w:pPr>
          </w:p>
        </w:tc>
      </w:tr>
      <w:tr w:rsidR="0024096E" w:rsidRPr="0024096E" w14:paraId="16C314A1" w14:textId="77777777" w:rsidTr="0024096E">
        <w:trPr>
          <w:trHeight w:val="296"/>
          <w:jc w:val="center"/>
        </w:trPr>
        <w:tc>
          <w:tcPr>
            <w:tcW w:w="3261" w:type="dxa"/>
            <w:tcBorders>
              <w:top w:val="nil"/>
              <w:left w:val="nil"/>
              <w:bottom w:val="single" w:sz="8" w:space="0" w:color="auto"/>
              <w:right w:val="nil"/>
            </w:tcBorders>
            <w:shd w:val="clear" w:color="auto" w:fill="auto"/>
            <w:noWrap/>
            <w:vAlign w:val="center"/>
            <w:hideMark/>
          </w:tcPr>
          <w:p w14:paraId="71D52BD4" w14:textId="77777777" w:rsidR="0024096E" w:rsidRPr="0024096E" w:rsidRDefault="0024096E" w:rsidP="0024096E">
            <w:pPr>
              <w:rPr>
                <w:rFonts w:ascii="Morningstar 1" w:eastAsia="Times New Roman" w:hAnsi="Morningstar 1" w:cs="Calibri"/>
                <w:color w:val="000000"/>
                <w:sz w:val="22"/>
                <w:szCs w:val="22"/>
                <w:lang w:val="en-AU" w:eastAsia="en-AU"/>
              </w:rPr>
            </w:pPr>
            <w:r w:rsidRPr="0024096E">
              <w:rPr>
                <w:rFonts w:ascii="Morningstar 1" w:eastAsia="Times New Roman" w:hAnsi="Morningstar 1" w:cs="Calibri"/>
                <w:color w:val="000000"/>
                <w:sz w:val="22"/>
                <w:szCs w:val="22"/>
                <w:lang w:eastAsia="en-AU"/>
              </w:rPr>
              <w:t>MFS Global Equity Trust II - I Hedged</w:t>
            </w:r>
          </w:p>
        </w:tc>
        <w:tc>
          <w:tcPr>
            <w:tcW w:w="2693" w:type="dxa"/>
            <w:tcBorders>
              <w:top w:val="nil"/>
              <w:left w:val="nil"/>
              <w:bottom w:val="single" w:sz="8" w:space="0" w:color="auto"/>
              <w:right w:val="nil"/>
            </w:tcBorders>
            <w:shd w:val="clear" w:color="auto" w:fill="auto"/>
            <w:vAlign w:val="center"/>
            <w:hideMark/>
          </w:tcPr>
          <w:p w14:paraId="19FF57DC" w14:textId="77777777" w:rsidR="0024096E" w:rsidRPr="0024096E" w:rsidRDefault="0024096E" w:rsidP="0024096E">
            <w:pPr>
              <w:jc w:val="center"/>
              <w:rPr>
                <w:rFonts w:ascii="Morningstar 1" w:eastAsia="Times New Roman" w:hAnsi="Morningstar 1" w:cs="Calibri"/>
                <w:b/>
                <w:bCs/>
                <w:color w:val="FF0000"/>
                <w:sz w:val="22"/>
                <w:szCs w:val="22"/>
                <w:lang w:val="en-AU" w:eastAsia="en-AU"/>
              </w:rPr>
            </w:pPr>
            <w:r w:rsidRPr="0024096E">
              <w:rPr>
                <w:rFonts w:ascii="Morningstar 1" w:eastAsia="Times New Roman" w:hAnsi="Morningstar 1" w:cs="Calibri"/>
                <w:b/>
                <w:bCs/>
                <w:color w:val="FF0000"/>
                <w:sz w:val="22"/>
                <w:szCs w:val="22"/>
                <w:lang w:eastAsia="en-AU"/>
              </w:rPr>
              <w:t>Decrease</w:t>
            </w:r>
          </w:p>
        </w:tc>
        <w:tc>
          <w:tcPr>
            <w:tcW w:w="530" w:type="dxa"/>
            <w:vAlign w:val="center"/>
            <w:hideMark/>
          </w:tcPr>
          <w:p w14:paraId="73DA3F80" w14:textId="77777777" w:rsidR="0024096E" w:rsidRPr="0024096E" w:rsidRDefault="0024096E" w:rsidP="0024096E">
            <w:pPr>
              <w:rPr>
                <w:rFonts w:eastAsia="Times New Roman"/>
                <w:sz w:val="20"/>
                <w:szCs w:val="20"/>
                <w:lang w:val="en-AU" w:eastAsia="en-AU"/>
              </w:rPr>
            </w:pPr>
          </w:p>
        </w:tc>
      </w:tr>
      <w:tr w:rsidR="0024096E" w:rsidRPr="0024096E" w14:paraId="2B4E9E73" w14:textId="77777777" w:rsidTr="0024096E">
        <w:trPr>
          <w:trHeight w:val="296"/>
          <w:jc w:val="center"/>
        </w:trPr>
        <w:tc>
          <w:tcPr>
            <w:tcW w:w="3261" w:type="dxa"/>
            <w:tcBorders>
              <w:top w:val="nil"/>
              <w:left w:val="nil"/>
              <w:bottom w:val="single" w:sz="8" w:space="0" w:color="auto"/>
              <w:right w:val="nil"/>
            </w:tcBorders>
            <w:shd w:val="clear" w:color="auto" w:fill="auto"/>
            <w:noWrap/>
            <w:vAlign w:val="center"/>
            <w:hideMark/>
          </w:tcPr>
          <w:p w14:paraId="54FB132B" w14:textId="77777777" w:rsidR="0024096E" w:rsidRPr="0024096E" w:rsidRDefault="0024096E" w:rsidP="0024096E">
            <w:pPr>
              <w:rPr>
                <w:rFonts w:ascii="Morningstar 1" w:eastAsia="Times New Roman" w:hAnsi="Morningstar 1" w:cs="Calibri"/>
                <w:color w:val="000000"/>
                <w:sz w:val="22"/>
                <w:szCs w:val="22"/>
                <w:lang w:val="en-AU" w:eastAsia="en-AU"/>
              </w:rPr>
            </w:pPr>
            <w:r w:rsidRPr="0024096E">
              <w:rPr>
                <w:rFonts w:ascii="Morningstar 1" w:eastAsia="Times New Roman" w:hAnsi="Morningstar 1" w:cs="Calibri"/>
                <w:color w:val="000000"/>
                <w:sz w:val="22"/>
                <w:szCs w:val="22"/>
                <w:lang w:eastAsia="en-AU"/>
              </w:rPr>
              <w:t>Capital Group New Perspective (AU)</w:t>
            </w:r>
          </w:p>
        </w:tc>
        <w:tc>
          <w:tcPr>
            <w:tcW w:w="2693" w:type="dxa"/>
            <w:tcBorders>
              <w:top w:val="nil"/>
              <w:left w:val="nil"/>
              <w:bottom w:val="single" w:sz="8" w:space="0" w:color="auto"/>
              <w:right w:val="nil"/>
            </w:tcBorders>
            <w:shd w:val="clear" w:color="auto" w:fill="auto"/>
            <w:vAlign w:val="center"/>
            <w:hideMark/>
          </w:tcPr>
          <w:p w14:paraId="3F1B38AE" w14:textId="77777777" w:rsidR="0024096E" w:rsidRPr="0024096E" w:rsidRDefault="0024096E" w:rsidP="0024096E">
            <w:pPr>
              <w:jc w:val="center"/>
              <w:rPr>
                <w:rFonts w:ascii="Morningstar 1" w:eastAsia="Times New Roman" w:hAnsi="Morningstar 1" w:cs="Calibri"/>
                <w:b/>
                <w:bCs/>
                <w:color w:val="FF0000"/>
                <w:sz w:val="22"/>
                <w:szCs w:val="22"/>
                <w:lang w:val="en-AU" w:eastAsia="en-AU"/>
              </w:rPr>
            </w:pPr>
            <w:r w:rsidRPr="0024096E">
              <w:rPr>
                <w:rFonts w:ascii="Morningstar 1" w:eastAsia="Times New Roman" w:hAnsi="Morningstar 1" w:cs="Calibri"/>
                <w:b/>
                <w:bCs/>
                <w:color w:val="FF0000"/>
                <w:sz w:val="22"/>
                <w:szCs w:val="22"/>
                <w:lang w:eastAsia="en-AU"/>
              </w:rPr>
              <w:t>Decrease</w:t>
            </w:r>
          </w:p>
        </w:tc>
        <w:tc>
          <w:tcPr>
            <w:tcW w:w="530" w:type="dxa"/>
            <w:vAlign w:val="center"/>
            <w:hideMark/>
          </w:tcPr>
          <w:p w14:paraId="125A3FCF" w14:textId="77777777" w:rsidR="0024096E" w:rsidRPr="0024096E" w:rsidRDefault="0024096E" w:rsidP="0024096E">
            <w:pPr>
              <w:rPr>
                <w:rFonts w:eastAsia="Times New Roman"/>
                <w:sz w:val="20"/>
                <w:szCs w:val="20"/>
                <w:lang w:val="en-AU" w:eastAsia="en-AU"/>
              </w:rPr>
            </w:pPr>
          </w:p>
        </w:tc>
      </w:tr>
      <w:tr w:rsidR="0024096E" w:rsidRPr="0024096E" w14:paraId="15833998" w14:textId="77777777" w:rsidTr="0024096E">
        <w:trPr>
          <w:trHeight w:val="296"/>
          <w:jc w:val="center"/>
        </w:trPr>
        <w:tc>
          <w:tcPr>
            <w:tcW w:w="3261" w:type="dxa"/>
            <w:tcBorders>
              <w:top w:val="nil"/>
              <w:left w:val="nil"/>
              <w:bottom w:val="single" w:sz="8" w:space="0" w:color="auto"/>
              <w:right w:val="nil"/>
            </w:tcBorders>
            <w:shd w:val="clear" w:color="000000" w:fill="F2F2F2"/>
            <w:vAlign w:val="center"/>
            <w:hideMark/>
          </w:tcPr>
          <w:p w14:paraId="022168BD" w14:textId="77777777" w:rsidR="0024096E" w:rsidRPr="0024096E" w:rsidRDefault="0024096E" w:rsidP="0024096E">
            <w:pPr>
              <w:rPr>
                <w:rFonts w:ascii="Morningstar 1" w:eastAsia="Times New Roman" w:hAnsi="Morningstar 1" w:cs="Calibri"/>
                <w:b/>
                <w:bCs/>
                <w:color w:val="000000"/>
                <w:sz w:val="22"/>
                <w:szCs w:val="22"/>
                <w:lang w:val="en-AU" w:eastAsia="en-AU"/>
              </w:rPr>
            </w:pPr>
            <w:r w:rsidRPr="0024096E">
              <w:rPr>
                <w:rFonts w:ascii="Morningstar 1" w:eastAsia="Times New Roman" w:hAnsi="Morningstar 1" w:cs="Calibri"/>
                <w:b/>
                <w:bCs/>
                <w:color w:val="000000"/>
                <w:sz w:val="22"/>
                <w:szCs w:val="22"/>
                <w:lang w:eastAsia="en-AU"/>
              </w:rPr>
              <w:t>Australian Fixed Interest</w:t>
            </w:r>
          </w:p>
        </w:tc>
        <w:tc>
          <w:tcPr>
            <w:tcW w:w="2693" w:type="dxa"/>
            <w:tcBorders>
              <w:top w:val="nil"/>
              <w:left w:val="nil"/>
              <w:bottom w:val="single" w:sz="8" w:space="0" w:color="auto"/>
              <w:right w:val="nil"/>
            </w:tcBorders>
            <w:shd w:val="clear" w:color="000000" w:fill="F2F2F2"/>
            <w:vAlign w:val="center"/>
            <w:hideMark/>
          </w:tcPr>
          <w:p w14:paraId="56BBCEA9" w14:textId="77777777" w:rsidR="0024096E" w:rsidRPr="0024096E" w:rsidRDefault="0024096E" w:rsidP="0024096E">
            <w:pPr>
              <w:jc w:val="center"/>
              <w:rPr>
                <w:rFonts w:ascii="Morningstar 1" w:eastAsia="Times New Roman" w:hAnsi="Morningstar 1" w:cs="Calibri"/>
                <w:b/>
                <w:bCs/>
                <w:color w:val="00B050"/>
                <w:sz w:val="22"/>
                <w:szCs w:val="22"/>
                <w:lang w:val="en-AU" w:eastAsia="en-AU"/>
              </w:rPr>
            </w:pPr>
            <w:r w:rsidRPr="0024096E">
              <w:rPr>
                <w:rFonts w:ascii="Morningstar 1" w:eastAsia="Times New Roman" w:hAnsi="Morningstar 1" w:cs="Calibri"/>
                <w:b/>
                <w:bCs/>
                <w:color w:val="00B050"/>
                <w:sz w:val="22"/>
                <w:szCs w:val="22"/>
                <w:lang w:eastAsia="en-AU"/>
              </w:rPr>
              <w:t> </w:t>
            </w:r>
          </w:p>
        </w:tc>
        <w:tc>
          <w:tcPr>
            <w:tcW w:w="530" w:type="dxa"/>
            <w:vAlign w:val="center"/>
            <w:hideMark/>
          </w:tcPr>
          <w:p w14:paraId="7DF4057B" w14:textId="77777777" w:rsidR="0024096E" w:rsidRPr="0024096E" w:rsidRDefault="0024096E" w:rsidP="0024096E">
            <w:pPr>
              <w:rPr>
                <w:rFonts w:eastAsia="Times New Roman"/>
                <w:sz w:val="20"/>
                <w:szCs w:val="20"/>
                <w:lang w:val="en-AU" w:eastAsia="en-AU"/>
              </w:rPr>
            </w:pPr>
          </w:p>
        </w:tc>
      </w:tr>
      <w:tr w:rsidR="0024096E" w:rsidRPr="0024096E" w14:paraId="0B95713C" w14:textId="77777777" w:rsidTr="0024096E">
        <w:trPr>
          <w:trHeight w:val="296"/>
          <w:jc w:val="center"/>
        </w:trPr>
        <w:tc>
          <w:tcPr>
            <w:tcW w:w="3261" w:type="dxa"/>
            <w:tcBorders>
              <w:top w:val="nil"/>
              <w:left w:val="nil"/>
              <w:bottom w:val="single" w:sz="8" w:space="0" w:color="auto"/>
              <w:right w:val="nil"/>
            </w:tcBorders>
            <w:shd w:val="clear" w:color="auto" w:fill="auto"/>
            <w:noWrap/>
            <w:vAlign w:val="center"/>
            <w:hideMark/>
          </w:tcPr>
          <w:p w14:paraId="66454413" w14:textId="77777777" w:rsidR="0024096E" w:rsidRPr="0024096E" w:rsidRDefault="0024096E" w:rsidP="0024096E">
            <w:pPr>
              <w:rPr>
                <w:rFonts w:ascii="Morningstar 1" w:eastAsia="Times New Roman" w:hAnsi="Morningstar 1" w:cs="Calibri"/>
                <w:color w:val="000000"/>
                <w:sz w:val="22"/>
                <w:szCs w:val="22"/>
                <w:lang w:val="en-AU" w:eastAsia="en-AU"/>
              </w:rPr>
            </w:pPr>
            <w:r w:rsidRPr="0024096E">
              <w:rPr>
                <w:rFonts w:ascii="Morningstar 1" w:eastAsia="Times New Roman" w:hAnsi="Morningstar 1" w:cs="Calibri"/>
                <w:color w:val="000000"/>
                <w:sz w:val="22"/>
                <w:szCs w:val="22"/>
                <w:lang w:eastAsia="en-AU"/>
              </w:rPr>
              <w:t>Vanguard Australian Fixed Interest ETF</w:t>
            </w:r>
          </w:p>
        </w:tc>
        <w:tc>
          <w:tcPr>
            <w:tcW w:w="2693" w:type="dxa"/>
            <w:tcBorders>
              <w:top w:val="nil"/>
              <w:left w:val="nil"/>
              <w:bottom w:val="single" w:sz="8" w:space="0" w:color="auto"/>
              <w:right w:val="nil"/>
            </w:tcBorders>
            <w:shd w:val="clear" w:color="auto" w:fill="auto"/>
            <w:vAlign w:val="center"/>
            <w:hideMark/>
          </w:tcPr>
          <w:p w14:paraId="0A516E2A" w14:textId="77777777" w:rsidR="0024096E" w:rsidRPr="0024096E" w:rsidRDefault="0024096E" w:rsidP="0024096E">
            <w:pPr>
              <w:jc w:val="center"/>
              <w:rPr>
                <w:rFonts w:ascii="Morningstar 1" w:eastAsia="Times New Roman" w:hAnsi="Morningstar 1" w:cs="Calibri"/>
                <w:b/>
                <w:bCs/>
                <w:color w:val="FF0000"/>
                <w:sz w:val="22"/>
                <w:szCs w:val="22"/>
                <w:lang w:val="en-AU" w:eastAsia="en-AU"/>
              </w:rPr>
            </w:pPr>
            <w:r w:rsidRPr="0024096E">
              <w:rPr>
                <w:rFonts w:ascii="Morningstar 1" w:eastAsia="Times New Roman" w:hAnsi="Morningstar 1" w:cs="Calibri"/>
                <w:b/>
                <w:bCs/>
                <w:color w:val="FF0000"/>
                <w:sz w:val="22"/>
                <w:szCs w:val="22"/>
                <w:lang w:eastAsia="en-AU"/>
              </w:rPr>
              <w:t>Decrease</w:t>
            </w:r>
          </w:p>
        </w:tc>
        <w:tc>
          <w:tcPr>
            <w:tcW w:w="530" w:type="dxa"/>
            <w:vAlign w:val="center"/>
            <w:hideMark/>
          </w:tcPr>
          <w:p w14:paraId="70FBEBE4" w14:textId="77777777" w:rsidR="0024096E" w:rsidRPr="0024096E" w:rsidRDefault="0024096E" w:rsidP="0024096E">
            <w:pPr>
              <w:rPr>
                <w:rFonts w:eastAsia="Times New Roman"/>
                <w:sz w:val="20"/>
                <w:szCs w:val="20"/>
                <w:lang w:val="en-AU" w:eastAsia="en-AU"/>
              </w:rPr>
            </w:pPr>
          </w:p>
        </w:tc>
      </w:tr>
      <w:tr w:rsidR="0024096E" w:rsidRPr="0024096E" w14:paraId="33027FD5" w14:textId="77777777" w:rsidTr="0024096E">
        <w:trPr>
          <w:trHeight w:val="296"/>
          <w:jc w:val="center"/>
        </w:trPr>
        <w:tc>
          <w:tcPr>
            <w:tcW w:w="3261" w:type="dxa"/>
            <w:tcBorders>
              <w:top w:val="nil"/>
              <w:left w:val="nil"/>
              <w:bottom w:val="single" w:sz="8" w:space="0" w:color="auto"/>
              <w:right w:val="nil"/>
            </w:tcBorders>
            <w:shd w:val="clear" w:color="auto" w:fill="auto"/>
            <w:noWrap/>
            <w:vAlign w:val="center"/>
            <w:hideMark/>
          </w:tcPr>
          <w:p w14:paraId="7F25B162" w14:textId="77777777" w:rsidR="0024096E" w:rsidRPr="0024096E" w:rsidRDefault="0024096E" w:rsidP="0024096E">
            <w:pPr>
              <w:rPr>
                <w:rFonts w:ascii="Morningstar 1" w:eastAsia="Times New Roman" w:hAnsi="Morningstar 1" w:cs="Calibri"/>
                <w:color w:val="000000"/>
                <w:sz w:val="22"/>
                <w:szCs w:val="22"/>
                <w:lang w:val="en-AU" w:eastAsia="en-AU"/>
              </w:rPr>
            </w:pPr>
            <w:r w:rsidRPr="0024096E">
              <w:rPr>
                <w:rFonts w:ascii="Morningstar 1" w:eastAsia="Times New Roman" w:hAnsi="Morningstar 1" w:cs="Calibri"/>
                <w:color w:val="000000"/>
                <w:sz w:val="22"/>
                <w:szCs w:val="22"/>
                <w:lang w:eastAsia="en-AU"/>
              </w:rPr>
              <w:t>Janus Henderson Tactical Income</w:t>
            </w:r>
          </w:p>
        </w:tc>
        <w:tc>
          <w:tcPr>
            <w:tcW w:w="2693" w:type="dxa"/>
            <w:tcBorders>
              <w:top w:val="nil"/>
              <w:left w:val="nil"/>
              <w:bottom w:val="single" w:sz="8" w:space="0" w:color="auto"/>
              <w:right w:val="nil"/>
            </w:tcBorders>
            <w:shd w:val="clear" w:color="auto" w:fill="auto"/>
            <w:vAlign w:val="center"/>
            <w:hideMark/>
          </w:tcPr>
          <w:p w14:paraId="6412EB58" w14:textId="77777777" w:rsidR="0024096E" w:rsidRPr="0024096E" w:rsidRDefault="0024096E" w:rsidP="0024096E">
            <w:pPr>
              <w:jc w:val="center"/>
              <w:rPr>
                <w:rFonts w:ascii="Morningstar 1" w:eastAsia="Times New Roman" w:hAnsi="Morningstar 1" w:cs="Calibri"/>
                <w:b/>
                <w:bCs/>
                <w:color w:val="00B050"/>
                <w:sz w:val="22"/>
                <w:szCs w:val="22"/>
                <w:lang w:val="en-AU" w:eastAsia="en-AU"/>
              </w:rPr>
            </w:pPr>
            <w:r w:rsidRPr="0024096E">
              <w:rPr>
                <w:rFonts w:ascii="Morningstar 1" w:eastAsia="Times New Roman" w:hAnsi="Morningstar 1" w:cs="Calibri"/>
                <w:b/>
                <w:bCs/>
                <w:color w:val="00B050"/>
                <w:sz w:val="22"/>
                <w:szCs w:val="22"/>
                <w:lang w:eastAsia="en-AU"/>
              </w:rPr>
              <w:t>Increase</w:t>
            </w:r>
          </w:p>
        </w:tc>
        <w:tc>
          <w:tcPr>
            <w:tcW w:w="530" w:type="dxa"/>
            <w:vAlign w:val="center"/>
            <w:hideMark/>
          </w:tcPr>
          <w:p w14:paraId="44DB7ACA" w14:textId="77777777" w:rsidR="0024096E" w:rsidRPr="0024096E" w:rsidRDefault="0024096E" w:rsidP="0024096E">
            <w:pPr>
              <w:rPr>
                <w:rFonts w:eastAsia="Times New Roman"/>
                <w:sz w:val="20"/>
                <w:szCs w:val="20"/>
                <w:lang w:val="en-AU" w:eastAsia="en-AU"/>
              </w:rPr>
            </w:pPr>
          </w:p>
        </w:tc>
      </w:tr>
      <w:tr w:rsidR="0024096E" w:rsidRPr="0024096E" w14:paraId="6904D130" w14:textId="77777777" w:rsidTr="0024096E">
        <w:trPr>
          <w:trHeight w:val="296"/>
          <w:jc w:val="center"/>
        </w:trPr>
        <w:tc>
          <w:tcPr>
            <w:tcW w:w="3261" w:type="dxa"/>
            <w:tcBorders>
              <w:top w:val="nil"/>
              <w:left w:val="nil"/>
              <w:bottom w:val="single" w:sz="8" w:space="0" w:color="auto"/>
              <w:right w:val="nil"/>
            </w:tcBorders>
            <w:shd w:val="clear" w:color="000000" w:fill="F2F2F2"/>
            <w:vAlign w:val="center"/>
            <w:hideMark/>
          </w:tcPr>
          <w:p w14:paraId="01EEF02A" w14:textId="77777777" w:rsidR="0024096E" w:rsidRPr="0024096E" w:rsidRDefault="0024096E" w:rsidP="0024096E">
            <w:pPr>
              <w:rPr>
                <w:rFonts w:ascii="Morningstar 1" w:eastAsia="Times New Roman" w:hAnsi="Morningstar 1" w:cs="Calibri"/>
                <w:b/>
                <w:bCs/>
                <w:color w:val="000000"/>
                <w:sz w:val="22"/>
                <w:szCs w:val="22"/>
                <w:lang w:val="en-AU" w:eastAsia="en-AU"/>
              </w:rPr>
            </w:pPr>
            <w:r w:rsidRPr="0024096E">
              <w:rPr>
                <w:rFonts w:ascii="Morningstar 1" w:eastAsia="Times New Roman" w:hAnsi="Morningstar 1" w:cs="Calibri"/>
                <w:b/>
                <w:bCs/>
                <w:color w:val="000000"/>
                <w:sz w:val="22"/>
                <w:szCs w:val="22"/>
                <w:lang w:eastAsia="en-AU"/>
              </w:rPr>
              <w:t>International Fixed Interest</w:t>
            </w:r>
          </w:p>
        </w:tc>
        <w:tc>
          <w:tcPr>
            <w:tcW w:w="2693" w:type="dxa"/>
            <w:tcBorders>
              <w:top w:val="nil"/>
              <w:left w:val="nil"/>
              <w:bottom w:val="single" w:sz="8" w:space="0" w:color="auto"/>
              <w:right w:val="nil"/>
            </w:tcBorders>
            <w:shd w:val="clear" w:color="000000" w:fill="F2F2F2"/>
            <w:vAlign w:val="center"/>
            <w:hideMark/>
          </w:tcPr>
          <w:p w14:paraId="4680304F" w14:textId="77777777" w:rsidR="0024096E" w:rsidRPr="0024096E" w:rsidRDefault="0024096E" w:rsidP="0024096E">
            <w:pPr>
              <w:jc w:val="center"/>
              <w:rPr>
                <w:rFonts w:ascii="Morningstar 1" w:eastAsia="Times New Roman" w:hAnsi="Morningstar 1" w:cs="Calibri"/>
                <w:b/>
                <w:bCs/>
                <w:color w:val="00B050"/>
                <w:sz w:val="22"/>
                <w:szCs w:val="22"/>
                <w:lang w:val="en-AU" w:eastAsia="en-AU"/>
              </w:rPr>
            </w:pPr>
            <w:r w:rsidRPr="0024096E">
              <w:rPr>
                <w:rFonts w:ascii="Morningstar 1" w:eastAsia="Times New Roman" w:hAnsi="Morningstar 1" w:cs="Calibri"/>
                <w:b/>
                <w:bCs/>
                <w:color w:val="00B050"/>
                <w:sz w:val="22"/>
                <w:szCs w:val="22"/>
                <w:lang w:eastAsia="en-AU"/>
              </w:rPr>
              <w:t> </w:t>
            </w:r>
          </w:p>
        </w:tc>
        <w:tc>
          <w:tcPr>
            <w:tcW w:w="530" w:type="dxa"/>
            <w:vAlign w:val="center"/>
            <w:hideMark/>
          </w:tcPr>
          <w:p w14:paraId="3ECA1141" w14:textId="77777777" w:rsidR="0024096E" w:rsidRPr="0024096E" w:rsidRDefault="0024096E" w:rsidP="0024096E">
            <w:pPr>
              <w:rPr>
                <w:rFonts w:eastAsia="Times New Roman"/>
                <w:sz w:val="20"/>
                <w:szCs w:val="20"/>
                <w:lang w:val="en-AU" w:eastAsia="en-AU"/>
              </w:rPr>
            </w:pPr>
          </w:p>
        </w:tc>
      </w:tr>
      <w:tr w:rsidR="0024096E" w:rsidRPr="0024096E" w14:paraId="57954200" w14:textId="77777777" w:rsidTr="0024096E">
        <w:trPr>
          <w:trHeight w:val="296"/>
          <w:jc w:val="center"/>
        </w:trPr>
        <w:tc>
          <w:tcPr>
            <w:tcW w:w="3261" w:type="dxa"/>
            <w:tcBorders>
              <w:top w:val="nil"/>
              <w:left w:val="nil"/>
              <w:bottom w:val="single" w:sz="8" w:space="0" w:color="auto"/>
              <w:right w:val="nil"/>
            </w:tcBorders>
            <w:shd w:val="clear" w:color="auto" w:fill="auto"/>
            <w:noWrap/>
            <w:vAlign w:val="center"/>
            <w:hideMark/>
          </w:tcPr>
          <w:p w14:paraId="78DA11D3" w14:textId="77777777" w:rsidR="0024096E" w:rsidRPr="0024096E" w:rsidRDefault="0024096E" w:rsidP="0024096E">
            <w:pPr>
              <w:rPr>
                <w:rFonts w:ascii="Morningstar 1" w:eastAsia="Times New Roman" w:hAnsi="Morningstar 1" w:cs="Calibri"/>
                <w:color w:val="000000"/>
                <w:sz w:val="22"/>
                <w:szCs w:val="22"/>
                <w:lang w:val="en-AU" w:eastAsia="en-AU"/>
              </w:rPr>
            </w:pPr>
            <w:r w:rsidRPr="0024096E">
              <w:rPr>
                <w:rFonts w:ascii="Morningstar 1" w:eastAsia="Times New Roman" w:hAnsi="Morningstar 1" w:cs="Calibri"/>
                <w:color w:val="000000"/>
                <w:sz w:val="22"/>
                <w:szCs w:val="22"/>
                <w:lang w:eastAsia="en-AU"/>
              </w:rPr>
              <w:t>iShares Global Bond Index</w:t>
            </w:r>
          </w:p>
        </w:tc>
        <w:tc>
          <w:tcPr>
            <w:tcW w:w="2693" w:type="dxa"/>
            <w:tcBorders>
              <w:top w:val="nil"/>
              <w:left w:val="nil"/>
              <w:bottom w:val="single" w:sz="8" w:space="0" w:color="auto"/>
              <w:right w:val="nil"/>
            </w:tcBorders>
            <w:shd w:val="clear" w:color="auto" w:fill="auto"/>
            <w:vAlign w:val="center"/>
            <w:hideMark/>
          </w:tcPr>
          <w:p w14:paraId="60EAC15D" w14:textId="77777777" w:rsidR="0024096E" w:rsidRPr="0024096E" w:rsidRDefault="0024096E" w:rsidP="0024096E">
            <w:pPr>
              <w:jc w:val="center"/>
              <w:rPr>
                <w:rFonts w:ascii="Morningstar 1" w:eastAsia="Times New Roman" w:hAnsi="Morningstar 1" w:cs="Calibri"/>
                <w:b/>
                <w:bCs/>
                <w:color w:val="00B050"/>
                <w:sz w:val="22"/>
                <w:szCs w:val="22"/>
                <w:lang w:val="en-AU" w:eastAsia="en-AU"/>
              </w:rPr>
            </w:pPr>
            <w:r w:rsidRPr="0024096E">
              <w:rPr>
                <w:rFonts w:ascii="Morningstar 1" w:eastAsia="Times New Roman" w:hAnsi="Morningstar 1" w:cs="Calibri"/>
                <w:b/>
                <w:bCs/>
                <w:color w:val="00B050"/>
                <w:sz w:val="22"/>
                <w:szCs w:val="22"/>
                <w:lang w:eastAsia="en-AU"/>
              </w:rPr>
              <w:t>Increase</w:t>
            </w:r>
          </w:p>
        </w:tc>
        <w:tc>
          <w:tcPr>
            <w:tcW w:w="530" w:type="dxa"/>
            <w:vAlign w:val="center"/>
            <w:hideMark/>
          </w:tcPr>
          <w:p w14:paraId="2908F46A" w14:textId="77777777" w:rsidR="0024096E" w:rsidRPr="0024096E" w:rsidRDefault="0024096E" w:rsidP="0024096E">
            <w:pPr>
              <w:rPr>
                <w:rFonts w:eastAsia="Times New Roman"/>
                <w:sz w:val="20"/>
                <w:szCs w:val="20"/>
                <w:lang w:val="en-AU" w:eastAsia="en-AU"/>
              </w:rPr>
            </w:pPr>
          </w:p>
        </w:tc>
      </w:tr>
      <w:tr w:rsidR="0024096E" w:rsidRPr="0024096E" w14:paraId="4E370DEA" w14:textId="77777777" w:rsidTr="0024096E">
        <w:trPr>
          <w:trHeight w:val="296"/>
          <w:jc w:val="center"/>
        </w:trPr>
        <w:tc>
          <w:tcPr>
            <w:tcW w:w="3261" w:type="dxa"/>
            <w:tcBorders>
              <w:top w:val="nil"/>
              <w:left w:val="nil"/>
              <w:bottom w:val="single" w:sz="8" w:space="0" w:color="auto"/>
              <w:right w:val="nil"/>
            </w:tcBorders>
            <w:shd w:val="clear" w:color="auto" w:fill="auto"/>
            <w:noWrap/>
            <w:vAlign w:val="center"/>
            <w:hideMark/>
          </w:tcPr>
          <w:p w14:paraId="1411DC62" w14:textId="77777777" w:rsidR="0024096E" w:rsidRPr="0024096E" w:rsidRDefault="0024096E" w:rsidP="0024096E">
            <w:pPr>
              <w:rPr>
                <w:rFonts w:ascii="Morningstar 1" w:eastAsia="Times New Roman" w:hAnsi="Morningstar 1" w:cs="Calibri"/>
                <w:color w:val="000000"/>
                <w:sz w:val="22"/>
                <w:szCs w:val="22"/>
                <w:lang w:val="en-AU" w:eastAsia="en-AU"/>
              </w:rPr>
            </w:pPr>
            <w:r w:rsidRPr="0024096E">
              <w:rPr>
                <w:rFonts w:ascii="Morningstar 1" w:eastAsia="Times New Roman" w:hAnsi="Morningstar 1" w:cs="Calibri"/>
                <w:color w:val="000000"/>
                <w:sz w:val="22"/>
                <w:szCs w:val="22"/>
                <w:lang w:eastAsia="en-AU"/>
              </w:rPr>
              <w:t>Bentham Global Income</w:t>
            </w:r>
          </w:p>
        </w:tc>
        <w:tc>
          <w:tcPr>
            <w:tcW w:w="2693" w:type="dxa"/>
            <w:tcBorders>
              <w:top w:val="nil"/>
              <w:left w:val="nil"/>
              <w:bottom w:val="single" w:sz="8" w:space="0" w:color="auto"/>
              <w:right w:val="nil"/>
            </w:tcBorders>
            <w:shd w:val="clear" w:color="auto" w:fill="auto"/>
            <w:vAlign w:val="center"/>
            <w:hideMark/>
          </w:tcPr>
          <w:p w14:paraId="0C40620A" w14:textId="77777777" w:rsidR="0024096E" w:rsidRPr="0024096E" w:rsidRDefault="0024096E" w:rsidP="0024096E">
            <w:pPr>
              <w:jc w:val="center"/>
              <w:rPr>
                <w:rFonts w:ascii="Morningstar 1" w:eastAsia="Times New Roman" w:hAnsi="Morningstar 1" w:cs="Calibri"/>
                <w:b/>
                <w:bCs/>
                <w:color w:val="00B050"/>
                <w:sz w:val="22"/>
                <w:szCs w:val="22"/>
                <w:lang w:val="en-AU" w:eastAsia="en-AU"/>
              </w:rPr>
            </w:pPr>
            <w:r w:rsidRPr="0024096E">
              <w:rPr>
                <w:rFonts w:ascii="Morningstar 1" w:eastAsia="Times New Roman" w:hAnsi="Morningstar 1" w:cs="Calibri"/>
                <w:b/>
                <w:bCs/>
                <w:color w:val="00B050"/>
                <w:sz w:val="22"/>
                <w:szCs w:val="22"/>
                <w:lang w:eastAsia="en-AU"/>
              </w:rPr>
              <w:t>Increase</w:t>
            </w:r>
          </w:p>
        </w:tc>
        <w:tc>
          <w:tcPr>
            <w:tcW w:w="530" w:type="dxa"/>
            <w:vAlign w:val="center"/>
            <w:hideMark/>
          </w:tcPr>
          <w:p w14:paraId="1CFDC338" w14:textId="77777777" w:rsidR="0024096E" w:rsidRPr="0024096E" w:rsidRDefault="0024096E" w:rsidP="0024096E">
            <w:pPr>
              <w:rPr>
                <w:rFonts w:eastAsia="Times New Roman"/>
                <w:sz w:val="20"/>
                <w:szCs w:val="20"/>
                <w:lang w:val="en-AU" w:eastAsia="en-AU"/>
              </w:rPr>
            </w:pPr>
          </w:p>
        </w:tc>
      </w:tr>
    </w:tbl>
    <w:p w14:paraId="4C350BDD" w14:textId="77777777" w:rsidR="00262DAC" w:rsidRPr="009C6816" w:rsidRDefault="00262DAC" w:rsidP="00A113AD">
      <w:pPr>
        <w:autoSpaceDE w:val="0"/>
        <w:autoSpaceDN w:val="0"/>
        <w:adjustRightInd w:val="0"/>
        <w:rPr>
          <w:rFonts w:ascii="Morningstar 1" w:hAnsi="Morningstar 1" w:cs="Morningstar1Light"/>
          <w:sz w:val="22"/>
          <w:szCs w:val="22"/>
        </w:rPr>
      </w:pPr>
    </w:p>
    <w:p w14:paraId="005BB9CD" w14:textId="77777777" w:rsidR="001123E7" w:rsidRDefault="001123E7" w:rsidP="001123E7">
      <w:pPr>
        <w:pStyle w:val="ListParagraph"/>
        <w:spacing w:after="120"/>
        <w:ind w:left="0"/>
        <w:jc w:val="both"/>
        <w:rPr>
          <w:rFonts w:ascii="Morningstar 1" w:hAnsi="Morningstar 1"/>
        </w:rPr>
      </w:pPr>
      <w:r w:rsidRPr="00EB0095">
        <w:rPr>
          <w:rFonts w:ascii="Morningstar 1" w:hAnsi="Morningstar 1"/>
        </w:rPr>
        <w:t>Regarding fixed interest, Morningstar has slightly reduced the Vanguard Australian Fixed Interest Index while maintaining a mild overweight in Australian fixed interest. Similarly, global fixed interest positions have been increased to take advantage of attractive yields and diversify the equity market.</w:t>
      </w:r>
    </w:p>
    <w:p w14:paraId="59F39F4C" w14:textId="77777777" w:rsidR="001123E7" w:rsidRPr="001E51D6" w:rsidRDefault="001123E7" w:rsidP="001123E7">
      <w:pPr>
        <w:pStyle w:val="ListParagraph"/>
        <w:spacing w:after="120"/>
        <w:ind w:left="0"/>
        <w:jc w:val="both"/>
        <w:rPr>
          <w:rFonts w:ascii="Morningstar 1" w:hAnsi="Morningstar 1"/>
        </w:rPr>
      </w:pPr>
    </w:p>
    <w:p w14:paraId="0845784A" w14:textId="4D6AF3C0" w:rsidR="001123E7" w:rsidRDefault="1B2B4E6B" w:rsidP="5CF6815B">
      <w:pPr>
        <w:pStyle w:val="ListParagraph"/>
        <w:spacing w:after="120"/>
        <w:ind w:left="0"/>
        <w:rPr>
          <w:rFonts w:ascii="Morningstar 1" w:hAnsi="Morningstar 1"/>
        </w:rPr>
      </w:pPr>
      <w:r w:rsidRPr="648E39AF">
        <w:rPr>
          <w:rFonts w:ascii="Morningstar 1" w:hAnsi="Morningstar 1"/>
        </w:rPr>
        <w:t xml:space="preserve">Morningstar's preference for </w:t>
      </w:r>
      <w:r w:rsidR="78CE3C67" w:rsidRPr="648E39AF">
        <w:rPr>
          <w:rFonts w:ascii="Morningstar 1" w:hAnsi="Morningstar 1"/>
        </w:rPr>
        <w:t>global over domestic equities</w:t>
      </w:r>
      <w:r w:rsidR="43A69C5E" w:rsidRPr="648E39AF">
        <w:rPr>
          <w:rFonts w:ascii="Morningstar 1" w:hAnsi="Morningstar 1"/>
        </w:rPr>
        <w:t xml:space="preserve"> </w:t>
      </w:r>
      <w:r w:rsidRPr="648E39AF">
        <w:rPr>
          <w:rFonts w:ascii="Morningstar 1" w:hAnsi="Morningstar 1"/>
        </w:rPr>
        <w:t xml:space="preserve">persists, contributing to the </w:t>
      </w:r>
      <w:r w:rsidR="2FC35464" w:rsidRPr="648E39AF">
        <w:rPr>
          <w:rFonts w:ascii="Morningstar 1" w:hAnsi="Morningstar 1"/>
        </w:rPr>
        <w:t xml:space="preserve">sector </w:t>
      </w:r>
      <w:r w:rsidRPr="648E39AF">
        <w:rPr>
          <w:rFonts w:ascii="Morningstar 1" w:hAnsi="Morningstar 1"/>
        </w:rPr>
        <w:t xml:space="preserve">diversification of your portfolio. Although overall exposure to equities has been increased, </w:t>
      </w:r>
      <w:r w:rsidR="0468AA7D" w:rsidRPr="648E39AF">
        <w:rPr>
          <w:rFonts w:ascii="Morningstar 1" w:hAnsi="Morningstar 1"/>
        </w:rPr>
        <w:t xml:space="preserve">stock </w:t>
      </w:r>
      <w:r w:rsidRPr="648E39AF">
        <w:rPr>
          <w:rFonts w:ascii="Morningstar 1" w:hAnsi="Morningstar 1"/>
        </w:rPr>
        <w:t xml:space="preserve">allocations are </w:t>
      </w:r>
      <w:r w:rsidR="003B3023">
        <w:rPr>
          <w:rFonts w:ascii="Morningstar 1" w:hAnsi="Morningstar 1"/>
        </w:rPr>
        <w:t>more diversified</w:t>
      </w:r>
      <w:r w:rsidRPr="648E39AF">
        <w:rPr>
          <w:rFonts w:ascii="Morningstar 1" w:hAnsi="Morningstar 1"/>
        </w:rPr>
        <w:t xml:space="preserve"> due to prevailing high valuations</w:t>
      </w:r>
      <w:r w:rsidR="61BDE4D0" w:rsidRPr="648E39AF">
        <w:rPr>
          <w:rFonts w:ascii="Morningstar 1" w:hAnsi="Morningstar 1"/>
        </w:rPr>
        <w:t xml:space="preserve"> of the market</w:t>
      </w:r>
      <w:r w:rsidRPr="648E39AF">
        <w:rPr>
          <w:rFonts w:ascii="Morningstar 1" w:hAnsi="Morningstar 1"/>
        </w:rPr>
        <w:t xml:space="preserve">. </w:t>
      </w:r>
    </w:p>
    <w:p w14:paraId="40FA7A7A" w14:textId="297331DA" w:rsidR="648E39AF" w:rsidRDefault="648E39AF" w:rsidP="648E39AF">
      <w:pPr>
        <w:pStyle w:val="ListParagraph"/>
        <w:spacing w:after="120"/>
        <w:ind w:left="0"/>
        <w:rPr>
          <w:rFonts w:ascii="Morningstar 1" w:hAnsi="Morningstar 1"/>
        </w:rPr>
      </w:pPr>
    </w:p>
    <w:p w14:paraId="72331ECB" w14:textId="6B8D17CB" w:rsidR="001123E7" w:rsidRDefault="00AB41D5" w:rsidP="001123E7">
      <w:pPr>
        <w:pStyle w:val="ListParagraph"/>
        <w:spacing w:after="120"/>
        <w:ind w:left="0"/>
        <w:rPr>
          <w:rFonts w:ascii="Morningstar 1" w:hAnsi="Morningstar 1"/>
        </w:rPr>
      </w:pPr>
      <w:r>
        <w:rPr>
          <w:rFonts w:ascii="Morningstar 1" w:hAnsi="Morningstar 1"/>
        </w:rPr>
        <w:t xml:space="preserve">There were no changes to </w:t>
      </w:r>
      <w:r w:rsidR="00A22976">
        <w:rPr>
          <w:rFonts w:ascii="Morningstar 1" w:hAnsi="Morningstar 1"/>
        </w:rPr>
        <w:t>property and infrastructure</w:t>
      </w:r>
      <w:r w:rsidR="001123E7" w:rsidRPr="00036D1B">
        <w:rPr>
          <w:rFonts w:ascii="Morningstar 1" w:hAnsi="Morningstar 1"/>
        </w:rPr>
        <w:t>, maintaining a prudent level of exposure to capitalise on current opportunities.</w:t>
      </w:r>
    </w:p>
    <w:p w14:paraId="2E314776" w14:textId="77777777" w:rsidR="001123E7" w:rsidRPr="001E51D6" w:rsidRDefault="001123E7" w:rsidP="001123E7">
      <w:pPr>
        <w:pStyle w:val="ListParagraph"/>
        <w:spacing w:after="120"/>
        <w:ind w:left="0"/>
        <w:rPr>
          <w:rFonts w:ascii="Morningstar 1" w:hAnsi="Morningstar 1"/>
        </w:rPr>
      </w:pPr>
    </w:p>
    <w:p w14:paraId="47DFEA4B" w14:textId="5342C149" w:rsidR="0A1A87C4" w:rsidRDefault="446BBC55" w:rsidP="006F6FF2">
      <w:pPr>
        <w:spacing w:after="120"/>
        <w:rPr>
          <w:rFonts w:ascii="Morningstar 1" w:eastAsia="Calibri" w:hAnsi="Morningstar 1"/>
        </w:rPr>
      </w:pPr>
      <w:r w:rsidRPr="5CF6815B">
        <w:rPr>
          <w:rFonts w:ascii="Morningstar 1" w:eastAsia="Calibri" w:hAnsi="Morningstar 1"/>
          <w:sz w:val="22"/>
          <w:szCs w:val="22"/>
        </w:rPr>
        <w:t xml:space="preserve"> As always, please let me know if you have any questions or if I can be of any assistance.</w:t>
      </w:r>
    </w:p>
    <w:p w14:paraId="3C2BC106" w14:textId="3A09210B" w:rsidR="003E6E1E" w:rsidRPr="009C6816" w:rsidRDefault="003E6E1E" w:rsidP="003E6E1E">
      <w:pPr>
        <w:spacing w:after="120"/>
        <w:rPr>
          <w:rFonts w:ascii="Morningstar 1" w:eastAsia="Calibri" w:hAnsi="Morningstar 1"/>
          <w:sz w:val="22"/>
          <w:szCs w:val="22"/>
        </w:rPr>
      </w:pPr>
    </w:p>
    <w:p w14:paraId="5354FF3B" w14:textId="07710CF1" w:rsidR="00262DAC" w:rsidRPr="009C6816" w:rsidRDefault="007416A8" w:rsidP="00B72C69">
      <w:pPr>
        <w:spacing w:after="120"/>
        <w:rPr>
          <w:rFonts w:ascii="Morningstar 1" w:eastAsia="Calibri" w:hAnsi="Morningstar 1"/>
          <w:sz w:val="22"/>
          <w:szCs w:val="22"/>
        </w:rPr>
      </w:pPr>
      <w:r w:rsidRPr="009C6816">
        <w:rPr>
          <w:rFonts w:ascii="Morningstar 1" w:eastAsia="Calibri" w:hAnsi="Morningstar 1"/>
          <w:sz w:val="22"/>
          <w:szCs w:val="22"/>
        </w:rPr>
        <w:t>Regards</w:t>
      </w:r>
      <w:r w:rsidR="76661347" w:rsidRPr="5CF6815B">
        <w:rPr>
          <w:rFonts w:ascii="Morningstar 1" w:eastAsia="Calibri" w:hAnsi="Morningstar 1"/>
          <w:sz w:val="22"/>
          <w:szCs w:val="22"/>
        </w:rPr>
        <w:t>,</w:t>
      </w:r>
    </w:p>
    <w:p w14:paraId="2B1937DD" w14:textId="4695FABD" w:rsidR="5CF6815B" w:rsidRDefault="5CF6815B" w:rsidP="5CF6815B">
      <w:pPr>
        <w:spacing w:after="120"/>
        <w:rPr>
          <w:rFonts w:ascii="Morningstar 1" w:eastAsia="Calibri" w:hAnsi="Morningstar 1"/>
          <w:sz w:val="22"/>
          <w:szCs w:val="22"/>
        </w:rPr>
      </w:pPr>
    </w:p>
    <w:p w14:paraId="0AA009E6" w14:textId="423055B6" w:rsidR="00E14889" w:rsidRPr="009C6816" w:rsidRDefault="007416A8" w:rsidP="00B72C69">
      <w:pPr>
        <w:spacing w:after="120"/>
        <w:rPr>
          <w:rFonts w:ascii="Morningstar 1" w:eastAsia="Calibri" w:hAnsi="Morningstar 1"/>
          <w:sz w:val="22"/>
          <w:szCs w:val="22"/>
        </w:rPr>
      </w:pPr>
      <w:r w:rsidRPr="009C6816">
        <w:rPr>
          <w:rFonts w:ascii="Morningstar 1" w:eastAsia="Calibri" w:hAnsi="Morningstar 1"/>
          <w:sz w:val="22"/>
          <w:szCs w:val="22"/>
        </w:rPr>
        <w:t>Adviser</w:t>
      </w:r>
    </w:p>
    <w:sectPr w:rsidR="00E14889" w:rsidRPr="009C6816" w:rsidSect="00F9390B">
      <w:headerReference w:type="default" r:id="rId11"/>
      <w:footerReference w:type="default" r:id="rId12"/>
      <w:headerReference w:type="first" r:id="rId13"/>
      <w:pgSz w:w="11906" w:h="16838" w:code="9"/>
      <w:pgMar w:top="1440" w:right="1267" w:bottom="1440" w:left="1267"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DF16" w14:textId="77777777" w:rsidR="002412FA" w:rsidRDefault="002412FA" w:rsidP="00FF74BC">
      <w:r>
        <w:separator/>
      </w:r>
    </w:p>
  </w:endnote>
  <w:endnote w:type="continuationSeparator" w:id="0">
    <w:p w14:paraId="2B896B64" w14:textId="77777777" w:rsidR="002412FA" w:rsidRDefault="002412FA" w:rsidP="00FF74BC">
      <w:r>
        <w:continuationSeparator/>
      </w:r>
    </w:p>
  </w:endnote>
  <w:endnote w:type="continuationNotice" w:id="1">
    <w:p w14:paraId="098B15D4" w14:textId="77777777" w:rsidR="002412FA" w:rsidRDefault="00241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Next for MORNPC Cn">
    <w:panose1 w:val="020B0506030202020203"/>
    <w:charset w:val="00"/>
    <w:family w:val="swiss"/>
    <w:pitch w:val="variable"/>
    <w:sig w:usb0="A000002F" w:usb1="5000201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orningstar 1">
    <w:altName w:val="Calibri"/>
    <w:panose1 w:val="020B0406020202040204"/>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Morningstar1Ligh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8294" w14:textId="7EC87DF3" w:rsidR="00A221B7" w:rsidRDefault="00A221B7" w:rsidP="00F32EB2">
    <w:pPr>
      <w:pStyle w:val="Footer"/>
    </w:pPr>
    <w:r>
      <w:rPr>
        <w:noProof/>
        <w:lang w:eastAsia="en-US"/>
      </w:rPr>
      <w:drawing>
        <wp:anchor distT="0" distB="0" distL="114300" distR="114300" simplePos="0" relativeHeight="251658241" behindDoc="0" locked="0" layoutInCell="1" allowOverlap="1" wp14:anchorId="40B5BA39" wp14:editId="6C94CF6E">
          <wp:simplePos x="0" y="0"/>
          <wp:positionH relativeFrom="column">
            <wp:posOffset>6487160</wp:posOffset>
          </wp:positionH>
          <wp:positionV relativeFrom="paragraph">
            <wp:posOffset>9429115</wp:posOffset>
          </wp:positionV>
          <wp:extent cx="879475" cy="174625"/>
          <wp:effectExtent l="0" t="0" r="0" b="0"/>
          <wp:wrapNone/>
          <wp:docPr id="3" name="Picture 3" descr="TP_River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_RiverSource"/>
                  <pic:cNvPicPr>
                    <a:picLocks noChangeAspect="1" noChangeArrowheads="1"/>
                  </pic:cNvPicPr>
                </pic:nvPicPr>
                <pic:blipFill>
                  <a:blip r:embed="rId1">
                    <a:extLst>
                      <a:ext uri="{28A0092B-C50C-407E-A947-70E740481C1C}">
                        <a14:useLocalDpi xmlns:a14="http://schemas.microsoft.com/office/drawing/2010/main" val="0"/>
                      </a:ext>
                    </a:extLst>
                  </a:blip>
                  <a:srcRect l="66557"/>
                  <a:stretch>
                    <a:fillRect/>
                  </a:stretch>
                </pic:blipFill>
                <pic:spPr bwMode="auto">
                  <a:xfrm>
                    <a:off x="0" y="0"/>
                    <a:ext cx="879475" cy="174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0" locked="0" layoutInCell="1" allowOverlap="1" wp14:anchorId="5EAEBFCC" wp14:editId="7100D1B8">
          <wp:simplePos x="0" y="0"/>
          <wp:positionH relativeFrom="column">
            <wp:posOffset>6487160</wp:posOffset>
          </wp:positionH>
          <wp:positionV relativeFrom="paragraph">
            <wp:posOffset>9429115</wp:posOffset>
          </wp:positionV>
          <wp:extent cx="879475" cy="174625"/>
          <wp:effectExtent l="0" t="0" r="0" b="0"/>
          <wp:wrapNone/>
          <wp:docPr id="2" name="Picture 2" descr="TP_River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_RiverSource"/>
                  <pic:cNvPicPr>
                    <a:picLocks noChangeAspect="1" noChangeArrowheads="1"/>
                  </pic:cNvPicPr>
                </pic:nvPicPr>
                <pic:blipFill>
                  <a:blip r:embed="rId1">
                    <a:extLst>
                      <a:ext uri="{28A0092B-C50C-407E-A947-70E740481C1C}">
                        <a14:useLocalDpi xmlns:a14="http://schemas.microsoft.com/office/drawing/2010/main" val="0"/>
                      </a:ext>
                    </a:extLst>
                  </a:blip>
                  <a:srcRect l="66557"/>
                  <a:stretch>
                    <a:fillRect/>
                  </a:stretch>
                </pic:blipFill>
                <pic:spPr bwMode="auto">
                  <a:xfrm>
                    <a:off x="0" y="0"/>
                    <a:ext cx="879475" cy="174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23F4" w14:textId="77777777" w:rsidR="002412FA" w:rsidRDefault="002412FA" w:rsidP="00FF74BC">
      <w:r>
        <w:separator/>
      </w:r>
    </w:p>
  </w:footnote>
  <w:footnote w:type="continuationSeparator" w:id="0">
    <w:p w14:paraId="4DD2B6A1" w14:textId="77777777" w:rsidR="002412FA" w:rsidRDefault="002412FA" w:rsidP="00FF74BC">
      <w:r>
        <w:continuationSeparator/>
      </w:r>
    </w:p>
  </w:footnote>
  <w:footnote w:type="continuationNotice" w:id="1">
    <w:p w14:paraId="6BC3458B" w14:textId="77777777" w:rsidR="002412FA" w:rsidRDefault="002412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86EE" w14:textId="77777777" w:rsidR="00F9390B" w:rsidRDefault="00F9390B">
    <w:pPr>
      <w:pStyle w:val="Header"/>
    </w:pPr>
  </w:p>
  <w:p w14:paraId="71A26313" w14:textId="77777777" w:rsidR="00F9390B" w:rsidRDefault="00F93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8423" w14:textId="77777777" w:rsidR="007C57DC" w:rsidRPr="00503213" w:rsidRDefault="007C57DC" w:rsidP="007C57DC">
    <w:pPr>
      <w:pStyle w:val="ISCoverTitleBold"/>
      <w:spacing w:before="120"/>
      <w:rPr>
        <w:rStyle w:val="A4"/>
        <w:rFonts w:eastAsia="Times New Roman"/>
      </w:rPr>
    </w:pPr>
    <w:r w:rsidRPr="00503213">
      <w:rPr>
        <w:noProof/>
      </w:rPr>
      <mc:AlternateContent>
        <mc:Choice Requires="wpg">
          <w:drawing>
            <wp:anchor distT="0" distB="0" distL="114300" distR="114300" simplePos="0" relativeHeight="251658242" behindDoc="0" locked="0" layoutInCell="1" allowOverlap="1" wp14:anchorId="36A733DA" wp14:editId="477D0B49">
              <wp:simplePos x="0" y="0"/>
              <wp:positionH relativeFrom="margin">
                <wp:align>left</wp:align>
              </wp:positionH>
              <wp:positionV relativeFrom="paragraph">
                <wp:posOffset>-635</wp:posOffset>
              </wp:positionV>
              <wp:extent cx="6501384" cy="19050"/>
              <wp:effectExtent l="0" t="0" r="33020"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384" cy="19050"/>
                        <a:chOff x="1067" y="2015"/>
                        <a:chExt cx="10400" cy="30"/>
                      </a:xfrm>
                    </wpg:grpSpPr>
                    <wps:wsp>
                      <wps:cNvPr id="7" name="Straight Connector 2"/>
                      <wps:cNvCnPr/>
                      <wps:spPr bwMode="auto">
                        <a:xfrm>
                          <a:off x="1067" y="2045"/>
                          <a:ext cx="1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Straight Connector 2"/>
                      <wps:cNvCnPr/>
                      <wps:spPr bwMode="auto">
                        <a:xfrm>
                          <a:off x="1067" y="2015"/>
                          <a:ext cx="1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group id="Group 6" style="position:absolute;margin-left:0;margin-top:-.05pt;width:511.9pt;height:1.5pt;z-index:251658242;mso-position-horizontal:left;mso-position-horizontal-relative:margin" coordsize="10400,30" coordorigin="1067,2015" o:spid="_x0000_s1026" w14:anchorId="4EA0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">
              <v:line id="Straight Connector 2" style="position:absolute;visibility:visible;mso-wrap-style:square" o:spid="_x0000_s1027" strokeweight=".25pt" o:connectortype="straight" from="1067,2045" to="11467,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v:line id="Straight Connector 2" style="position:absolute;visibility:visible;mso-wrap-style:square" o:spid="_x0000_s1028" strokeweight=".5pt" o:connectortype="straight" from="1067,2015" to="11467,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w10:wrap anchorx="margin"/>
            </v:group>
          </w:pict>
        </mc:Fallback>
      </mc:AlternateContent>
    </w:r>
    <w:r w:rsidRPr="00503213">
      <w:t>Client-Friendly Communications</w:t>
    </w:r>
  </w:p>
  <w:p w14:paraId="1C4A819E" w14:textId="5BD91736" w:rsidR="007C57DC" w:rsidRPr="007C57DC" w:rsidRDefault="007C57DC" w:rsidP="007C57DC">
    <w:pPr>
      <w:pStyle w:val="ISCoverTitleLine2NonBold"/>
      <w:rPr>
        <w:sz w:val="36"/>
        <w:szCs w:val="16"/>
      </w:rPr>
    </w:pPr>
    <w:r w:rsidRPr="00503213">
      <w:rPr>
        <w:sz w:val="36"/>
        <w:szCs w:val="16"/>
      </w:rPr>
      <w:t xml:space="preserve">Trade Update – </w:t>
    </w:r>
    <w:r w:rsidR="000A4FD3">
      <w:rPr>
        <w:sz w:val="36"/>
        <w:szCs w:val="16"/>
      </w:rPr>
      <w:t>April 2024</w:t>
    </w:r>
  </w:p>
</w:hdr>
</file>

<file path=word/intelligence2.xml><?xml version="1.0" encoding="utf-8"?>
<int2:intelligence xmlns:int2="http://schemas.microsoft.com/office/intelligence/2020/intelligence" xmlns:oel="http://schemas.microsoft.com/office/2019/extlst">
  <int2:observations>
    <int2:textHash int2:hashCode="uMWlah6SoXLKCn" int2:id="SQj9KZU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539E"/>
    <w:multiLevelType w:val="hybridMultilevel"/>
    <w:tmpl w:val="702EF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64B1745"/>
    <w:multiLevelType w:val="hybridMultilevel"/>
    <w:tmpl w:val="B6F42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2953A0"/>
    <w:multiLevelType w:val="hybridMultilevel"/>
    <w:tmpl w:val="5192D22C"/>
    <w:lvl w:ilvl="0" w:tplc="63FC51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01189"/>
    <w:multiLevelType w:val="hybridMultilevel"/>
    <w:tmpl w:val="C7D24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51093064">
    <w:abstractNumId w:val="0"/>
  </w:num>
  <w:num w:numId="2" w16cid:durableId="315376268">
    <w:abstractNumId w:val="1"/>
  </w:num>
  <w:num w:numId="3" w16cid:durableId="731734905">
    <w:abstractNumId w:val="3"/>
  </w:num>
  <w:num w:numId="4" w16cid:durableId="14624304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wNTY0NLc0MjY3M7FU0lEKTi0uzszPAykwqgUAWncKKiwAAAA="/>
    <w:docVar w:name="APWAFVersion" w:val="5.0"/>
  </w:docVars>
  <w:rsids>
    <w:rsidRoot w:val="001F1265"/>
    <w:rsid w:val="00000BB3"/>
    <w:rsid w:val="00001C15"/>
    <w:rsid w:val="00002173"/>
    <w:rsid w:val="00004301"/>
    <w:rsid w:val="000047BE"/>
    <w:rsid w:val="00006A7F"/>
    <w:rsid w:val="00006ABF"/>
    <w:rsid w:val="0000722F"/>
    <w:rsid w:val="00007729"/>
    <w:rsid w:val="00010113"/>
    <w:rsid w:val="00010CA1"/>
    <w:rsid w:val="00011054"/>
    <w:rsid w:val="000113EB"/>
    <w:rsid w:val="0001251E"/>
    <w:rsid w:val="00013187"/>
    <w:rsid w:val="0001491F"/>
    <w:rsid w:val="00014B34"/>
    <w:rsid w:val="00015CE4"/>
    <w:rsid w:val="00015EE7"/>
    <w:rsid w:val="00020C6F"/>
    <w:rsid w:val="00021606"/>
    <w:rsid w:val="00021FB5"/>
    <w:rsid w:val="000246EC"/>
    <w:rsid w:val="00024A13"/>
    <w:rsid w:val="0002576A"/>
    <w:rsid w:val="000259DD"/>
    <w:rsid w:val="00025FA1"/>
    <w:rsid w:val="00030E46"/>
    <w:rsid w:val="00031366"/>
    <w:rsid w:val="0003371C"/>
    <w:rsid w:val="00033B4A"/>
    <w:rsid w:val="000349DA"/>
    <w:rsid w:val="00034BFF"/>
    <w:rsid w:val="00034EEE"/>
    <w:rsid w:val="00035BA7"/>
    <w:rsid w:val="0003655F"/>
    <w:rsid w:val="00036D1B"/>
    <w:rsid w:val="00037EB2"/>
    <w:rsid w:val="00042627"/>
    <w:rsid w:val="0004350F"/>
    <w:rsid w:val="000437C8"/>
    <w:rsid w:val="000439D9"/>
    <w:rsid w:val="00043DA0"/>
    <w:rsid w:val="000449D6"/>
    <w:rsid w:val="00044E20"/>
    <w:rsid w:val="0004550F"/>
    <w:rsid w:val="00046641"/>
    <w:rsid w:val="00046BE2"/>
    <w:rsid w:val="00050D72"/>
    <w:rsid w:val="0005144D"/>
    <w:rsid w:val="0005309C"/>
    <w:rsid w:val="00053F1D"/>
    <w:rsid w:val="00054A97"/>
    <w:rsid w:val="00056BF8"/>
    <w:rsid w:val="000579A0"/>
    <w:rsid w:val="00062310"/>
    <w:rsid w:val="00063826"/>
    <w:rsid w:val="00064124"/>
    <w:rsid w:val="00064538"/>
    <w:rsid w:val="000659D6"/>
    <w:rsid w:val="00065BAF"/>
    <w:rsid w:val="0006606D"/>
    <w:rsid w:val="000665E3"/>
    <w:rsid w:val="00066BA5"/>
    <w:rsid w:val="000679FC"/>
    <w:rsid w:val="00067A78"/>
    <w:rsid w:val="000722FF"/>
    <w:rsid w:val="0007302D"/>
    <w:rsid w:val="00075EF0"/>
    <w:rsid w:val="000766DF"/>
    <w:rsid w:val="00081012"/>
    <w:rsid w:val="00082669"/>
    <w:rsid w:val="0008315B"/>
    <w:rsid w:val="0008479F"/>
    <w:rsid w:val="000853E0"/>
    <w:rsid w:val="000869FA"/>
    <w:rsid w:val="00090FDE"/>
    <w:rsid w:val="00091A9F"/>
    <w:rsid w:val="00091BF3"/>
    <w:rsid w:val="00092A24"/>
    <w:rsid w:val="000933F4"/>
    <w:rsid w:val="0009350D"/>
    <w:rsid w:val="000935AC"/>
    <w:rsid w:val="00096FEA"/>
    <w:rsid w:val="00097027"/>
    <w:rsid w:val="0009797A"/>
    <w:rsid w:val="000A14FC"/>
    <w:rsid w:val="000A1AD8"/>
    <w:rsid w:val="000A1EE5"/>
    <w:rsid w:val="000A2555"/>
    <w:rsid w:val="000A2CD9"/>
    <w:rsid w:val="000A32B0"/>
    <w:rsid w:val="000A4FD3"/>
    <w:rsid w:val="000B0A48"/>
    <w:rsid w:val="000B218E"/>
    <w:rsid w:val="000B23C0"/>
    <w:rsid w:val="000B242E"/>
    <w:rsid w:val="000B35A4"/>
    <w:rsid w:val="000B3DC0"/>
    <w:rsid w:val="000B4C79"/>
    <w:rsid w:val="000B4E7E"/>
    <w:rsid w:val="000B58A6"/>
    <w:rsid w:val="000B749B"/>
    <w:rsid w:val="000C07F5"/>
    <w:rsid w:val="000C1130"/>
    <w:rsid w:val="000C1A85"/>
    <w:rsid w:val="000C2A77"/>
    <w:rsid w:val="000C3CDF"/>
    <w:rsid w:val="000C4509"/>
    <w:rsid w:val="000C5BFE"/>
    <w:rsid w:val="000C64E6"/>
    <w:rsid w:val="000C737F"/>
    <w:rsid w:val="000C7CB1"/>
    <w:rsid w:val="000D1509"/>
    <w:rsid w:val="000D180F"/>
    <w:rsid w:val="000D1D51"/>
    <w:rsid w:val="000D2FE2"/>
    <w:rsid w:val="000D3C0D"/>
    <w:rsid w:val="000D79F4"/>
    <w:rsid w:val="000D7C78"/>
    <w:rsid w:val="000E02B0"/>
    <w:rsid w:val="000E06CE"/>
    <w:rsid w:val="000E116F"/>
    <w:rsid w:val="000E1CEF"/>
    <w:rsid w:val="000E304A"/>
    <w:rsid w:val="000E3DC5"/>
    <w:rsid w:val="000E5116"/>
    <w:rsid w:val="000E6248"/>
    <w:rsid w:val="000E6BCD"/>
    <w:rsid w:val="000E6EC6"/>
    <w:rsid w:val="000E7383"/>
    <w:rsid w:val="000E7B51"/>
    <w:rsid w:val="000F18B0"/>
    <w:rsid w:val="000F2B7F"/>
    <w:rsid w:val="000F2D98"/>
    <w:rsid w:val="000F2FA9"/>
    <w:rsid w:val="000F5357"/>
    <w:rsid w:val="001001CE"/>
    <w:rsid w:val="00100242"/>
    <w:rsid w:val="0010504B"/>
    <w:rsid w:val="00105A6B"/>
    <w:rsid w:val="001064E9"/>
    <w:rsid w:val="00106632"/>
    <w:rsid w:val="001070CC"/>
    <w:rsid w:val="00107B50"/>
    <w:rsid w:val="001100DE"/>
    <w:rsid w:val="00110F20"/>
    <w:rsid w:val="00110F88"/>
    <w:rsid w:val="0011210D"/>
    <w:rsid w:val="001123E7"/>
    <w:rsid w:val="0011367D"/>
    <w:rsid w:val="0011385D"/>
    <w:rsid w:val="00114240"/>
    <w:rsid w:val="00114D3E"/>
    <w:rsid w:val="00116E0F"/>
    <w:rsid w:val="00117C16"/>
    <w:rsid w:val="00120816"/>
    <w:rsid w:val="00120D15"/>
    <w:rsid w:val="00121326"/>
    <w:rsid w:val="001214B7"/>
    <w:rsid w:val="00122C89"/>
    <w:rsid w:val="00125D72"/>
    <w:rsid w:val="00125E04"/>
    <w:rsid w:val="001275D2"/>
    <w:rsid w:val="0012799C"/>
    <w:rsid w:val="00134536"/>
    <w:rsid w:val="00134A8D"/>
    <w:rsid w:val="0013577E"/>
    <w:rsid w:val="0013660C"/>
    <w:rsid w:val="00137A49"/>
    <w:rsid w:val="00140550"/>
    <w:rsid w:val="0014142A"/>
    <w:rsid w:val="00143097"/>
    <w:rsid w:val="0014473A"/>
    <w:rsid w:val="001449FE"/>
    <w:rsid w:val="001455D8"/>
    <w:rsid w:val="0014588C"/>
    <w:rsid w:val="00150B33"/>
    <w:rsid w:val="00151F78"/>
    <w:rsid w:val="00157A70"/>
    <w:rsid w:val="00160652"/>
    <w:rsid w:val="0016135E"/>
    <w:rsid w:val="001613C2"/>
    <w:rsid w:val="0016237E"/>
    <w:rsid w:val="00163825"/>
    <w:rsid w:val="00163FD9"/>
    <w:rsid w:val="00164863"/>
    <w:rsid w:val="00165141"/>
    <w:rsid w:val="00166734"/>
    <w:rsid w:val="00167198"/>
    <w:rsid w:val="00167D74"/>
    <w:rsid w:val="00170624"/>
    <w:rsid w:val="00170847"/>
    <w:rsid w:val="00170D55"/>
    <w:rsid w:val="00170DCB"/>
    <w:rsid w:val="001732D5"/>
    <w:rsid w:val="00173481"/>
    <w:rsid w:val="00174816"/>
    <w:rsid w:val="00177060"/>
    <w:rsid w:val="001820D2"/>
    <w:rsid w:val="00183133"/>
    <w:rsid w:val="00184D1B"/>
    <w:rsid w:val="00184D21"/>
    <w:rsid w:val="0018504A"/>
    <w:rsid w:val="00185341"/>
    <w:rsid w:val="001857DD"/>
    <w:rsid w:val="0018654D"/>
    <w:rsid w:val="0018784E"/>
    <w:rsid w:val="00187CCC"/>
    <w:rsid w:val="001922A2"/>
    <w:rsid w:val="00192881"/>
    <w:rsid w:val="0019375C"/>
    <w:rsid w:val="0019462C"/>
    <w:rsid w:val="00194A28"/>
    <w:rsid w:val="00194E99"/>
    <w:rsid w:val="00195497"/>
    <w:rsid w:val="00195D88"/>
    <w:rsid w:val="00195E3B"/>
    <w:rsid w:val="0019759B"/>
    <w:rsid w:val="001A04C2"/>
    <w:rsid w:val="001A1FBC"/>
    <w:rsid w:val="001A41C4"/>
    <w:rsid w:val="001A46A8"/>
    <w:rsid w:val="001A49A1"/>
    <w:rsid w:val="001A49C3"/>
    <w:rsid w:val="001A49E2"/>
    <w:rsid w:val="001A52A0"/>
    <w:rsid w:val="001A6999"/>
    <w:rsid w:val="001B176E"/>
    <w:rsid w:val="001B297E"/>
    <w:rsid w:val="001B4CF0"/>
    <w:rsid w:val="001B5ACD"/>
    <w:rsid w:val="001B6518"/>
    <w:rsid w:val="001B6A7D"/>
    <w:rsid w:val="001B6AEF"/>
    <w:rsid w:val="001B733B"/>
    <w:rsid w:val="001B773E"/>
    <w:rsid w:val="001B7938"/>
    <w:rsid w:val="001C0BA9"/>
    <w:rsid w:val="001C1EBA"/>
    <w:rsid w:val="001C2030"/>
    <w:rsid w:val="001C2AD9"/>
    <w:rsid w:val="001C5B8E"/>
    <w:rsid w:val="001C7CEB"/>
    <w:rsid w:val="001C7DCF"/>
    <w:rsid w:val="001D0503"/>
    <w:rsid w:val="001D1583"/>
    <w:rsid w:val="001D2697"/>
    <w:rsid w:val="001D2B91"/>
    <w:rsid w:val="001D5001"/>
    <w:rsid w:val="001D573A"/>
    <w:rsid w:val="001D611D"/>
    <w:rsid w:val="001D6472"/>
    <w:rsid w:val="001D7CE8"/>
    <w:rsid w:val="001E1780"/>
    <w:rsid w:val="001E223E"/>
    <w:rsid w:val="001E38E9"/>
    <w:rsid w:val="001E3D59"/>
    <w:rsid w:val="001E4D11"/>
    <w:rsid w:val="001E51D6"/>
    <w:rsid w:val="001E5478"/>
    <w:rsid w:val="001E67F3"/>
    <w:rsid w:val="001E68E7"/>
    <w:rsid w:val="001E7232"/>
    <w:rsid w:val="001E748B"/>
    <w:rsid w:val="001F022B"/>
    <w:rsid w:val="001F0DB5"/>
    <w:rsid w:val="001F1265"/>
    <w:rsid w:val="001F1EE3"/>
    <w:rsid w:val="001F3E64"/>
    <w:rsid w:val="001F4499"/>
    <w:rsid w:val="001F7DDA"/>
    <w:rsid w:val="0020020F"/>
    <w:rsid w:val="00200C3D"/>
    <w:rsid w:val="002014E6"/>
    <w:rsid w:val="002015DD"/>
    <w:rsid w:val="00202C8C"/>
    <w:rsid w:val="00203330"/>
    <w:rsid w:val="0020369B"/>
    <w:rsid w:val="00205183"/>
    <w:rsid w:val="00206D6B"/>
    <w:rsid w:val="00206F17"/>
    <w:rsid w:val="00207FD7"/>
    <w:rsid w:val="0021137D"/>
    <w:rsid w:val="00211A38"/>
    <w:rsid w:val="00211A3F"/>
    <w:rsid w:val="00212351"/>
    <w:rsid w:val="00212BF8"/>
    <w:rsid w:val="0021412C"/>
    <w:rsid w:val="00214442"/>
    <w:rsid w:val="00216817"/>
    <w:rsid w:val="0021797A"/>
    <w:rsid w:val="002227D7"/>
    <w:rsid w:val="00223740"/>
    <w:rsid w:val="00226654"/>
    <w:rsid w:val="00231B77"/>
    <w:rsid w:val="00231E56"/>
    <w:rsid w:val="002327A3"/>
    <w:rsid w:val="00232999"/>
    <w:rsid w:val="00233423"/>
    <w:rsid w:val="002336D8"/>
    <w:rsid w:val="002342F6"/>
    <w:rsid w:val="00234A0E"/>
    <w:rsid w:val="00234E60"/>
    <w:rsid w:val="00235304"/>
    <w:rsid w:val="00235393"/>
    <w:rsid w:val="00235979"/>
    <w:rsid w:val="00236B11"/>
    <w:rsid w:val="00237520"/>
    <w:rsid w:val="00237885"/>
    <w:rsid w:val="0024002D"/>
    <w:rsid w:val="0024096E"/>
    <w:rsid w:val="00240F5C"/>
    <w:rsid w:val="002412FA"/>
    <w:rsid w:val="00241CD3"/>
    <w:rsid w:val="00243336"/>
    <w:rsid w:val="0024359F"/>
    <w:rsid w:val="0024453A"/>
    <w:rsid w:val="00246733"/>
    <w:rsid w:val="002511BC"/>
    <w:rsid w:val="002512A2"/>
    <w:rsid w:val="00252342"/>
    <w:rsid w:val="0025346A"/>
    <w:rsid w:val="0025369C"/>
    <w:rsid w:val="00253B97"/>
    <w:rsid w:val="0025435A"/>
    <w:rsid w:val="00254A12"/>
    <w:rsid w:val="00255DA5"/>
    <w:rsid w:val="00257617"/>
    <w:rsid w:val="00260DD6"/>
    <w:rsid w:val="00261830"/>
    <w:rsid w:val="00262BFB"/>
    <w:rsid w:val="00262DAC"/>
    <w:rsid w:val="00262FDC"/>
    <w:rsid w:val="002638E6"/>
    <w:rsid w:val="00264456"/>
    <w:rsid w:val="00264D87"/>
    <w:rsid w:val="0026598A"/>
    <w:rsid w:val="00265FBC"/>
    <w:rsid w:val="00272DE2"/>
    <w:rsid w:val="002730EE"/>
    <w:rsid w:val="00274F14"/>
    <w:rsid w:val="00275B2C"/>
    <w:rsid w:val="0027722A"/>
    <w:rsid w:val="00280566"/>
    <w:rsid w:val="002810EF"/>
    <w:rsid w:val="00281319"/>
    <w:rsid w:val="002816E6"/>
    <w:rsid w:val="0028179D"/>
    <w:rsid w:val="00283612"/>
    <w:rsid w:val="00283998"/>
    <w:rsid w:val="0028490F"/>
    <w:rsid w:val="002861E6"/>
    <w:rsid w:val="002862DC"/>
    <w:rsid w:val="002865C6"/>
    <w:rsid w:val="002879D1"/>
    <w:rsid w:val="00290553"/>
    <w:rsid w:val="002937F9"/>
    <w:rsid w:val="00295925"/>
    <w:rsid w:val="00295ADB"/>
    <w:rsid w:val="00297A29"/>
    <w:rsid w:val="002A2959"/>
    <w:rsid w:val="002A4023"/>
    <w:rsid w:val="002A5109"/>
    <w:rsid w:val="002A588A"/>
    <w:rsid w:val="002A7366"/>
    <w:rsid w:val="002A7DF4"/>
    <w:rsid w:val="002B0BCA"/>
    <w:rsid w:val="002B15D1"/>
    <w:rsid w:val="002B185A"/>
    <w:rsid w:val="002B54A4"/>
    <w:rsid w:val="002B5713"/>
    <w:rsid w:val="002B6378"/>
    <w:rsid w:val="002C1075"/>
    <w:rsid w:val="002C1208"/>
    <w:rsid w:val="002C3ED9"/>
    <w:rsid w:val="002C4A60"/>
    <w:rsid w:val="002C4C57"/>
    <w:rsid w:val="002C4D96"/>
    <w:rsid w:val="002C747C"/>
    <w:rsid w:val="002C7843"/>
    <w:rsid w:val="002C7B96"/>
    <w:rsid w:val="002D038E"/>
    <w:rsid w:val="002D0A71"/>
    <w:rsid w:val="002D110A"/>
    <w:rsid w:val="002D19AA"/>
    <w:rsid w:val="002D2820"/>
    <w:rsid w:val="002D296F"/>
    <w:rsid w:val="002D35A5"/>
    <w:rsid w:val="002D39FD"/>
    <w:rsid w:val="002D4F60"/>
    <w:rsid w:val="002D52FB"/>
    <w:rsid w:val="002D6C7B"/>
    <w:rsid w:val="002D721B"/>
    <w:rsid w:val="002D780B"/>
    <w:rsid w:val="002E1E90"/>
    <w:rsid w:val="002E2B87"/>
    <w:rsid w:val="002E4EB8"/>
    <w:rsid w:val="002E54A1"/>
    <w:rsid w:val="002E6C3C"/>
    <w:rsid w:val="002E7110"/>
    <w:rsid w:val="002E79EB"/>
    <w:rsid w:val="002F053A"/>
    <w:rsid w:val="002F07C0"/>
    <w:rsid w:val="002F1EB1"/>
    <w:rsid w:val="002F2B01"/>
    <w:rsid w:val="002F4170"/>
    <w:rsid w:val="002F4E97"/>
    <w:rsid w:val="002F522F"/>
    <w:rsid w:val="002F52E9"/>
    <w:rsid w:val="002F577A"/>
    <w:rsid w:val="002F59A4"/>
    <w:rsid w:val="002F5BC4"/>
    <w:rsid w:val="002F665B"/>
    <w:rsid w:val="002F7228"/>
    <w:rsid w:val="002F762E"/>
    <w:rsid w:val="0030058A"/>
    <w:rsid w:val="00300FF2"/>
    <w:rsid w:val="00301F57"/>
    <w:rsid w:val="0030363F"/>
    <w:rsid w:val="00305844"/>
    <w:rsid w:val="00305DDA"/>
    <w:rsid w:val="00307940"/>
    <w:rsid w:val="003079EB"/>
    <w:rsid w:val="0030C946"/>
    <w:rsid w:val="003104D9"/>
    <w:rsid w:val="00310533"/>
    <w:rsid w:val="00310653"/>
    <w:rsid w:val="00310B80"/>
    <w:rsid w:val="00310B9A"/>
    <w:rsid w:val="0031266A"/>
    <w:rsid w:val="00312735"/>
    <w:rsid w:val="003127EF"/>
    <w:rsid w:val="00312AA1"/>
    <w:rsid w:val="00316EB0"/>
    <w:rsid w:val="0031793D"/>
    <w:rsid w:val="003201D7"/>
    <w:rsid w:val="00321B4A"/>
    <w:rsid w:val="00322B11"/>
    <w:rsid w:val="00324FA9"/>
    <w:rsid w:val="003256D1"/>
    <w:rsid w:val="00326818"/>
    <w:rsid w:val="00326A2C"/>
    <w:rsid w:val="0032759B"/>
    <w:rsid w:val="003304A2"/>
    <w:rsid w:val="0033197E"/>
    <w:rsid w:val="00332D7C"/>
    <w:rsid w:val="00332F73"/>
    <w:rsid w:val="00333ADF"/>
    <w:rsid w:val="003356A7"/>
    <w:rsid w:val="003365AA"/>
    <w:rsid w:val="00336A68"/>
    <w:rsid w:val="00336DE4"/>
    <w:rsid w:val="00337C17"/>
    <w:rsid w:val="00337E9B"/>
    <w:rsid w:val="00337F90"/>
    <w:rsid w:val="003417AA"/>
    <w:rsid w:val="0034399B"/>
    <w:rsid w:val="003442C9"/>
    <w:rsid w:val="00344CAD"/>
    <w:rsid w:val="00345B68"/>
    <w:rsid w:val="00346902"/>
    <w:rsid w:val="003469EB"/>
    <w:rsid w:val="00347908"/>
    <w:rsid w:val="00350110"/>
    <w:rsid w:val="00352D80"/>
    <w:rsid w:val="00355E53"/>
    <w:rsid w:val="00356172"/>
    <w:rsid w:val="003565C0"/>
    <w:rsid w:val="003601C6"/>
    <w:rsid w:val="003606C5"/>
    <w:rsid w:val="00361DFA"/>
    <w:rsid w:val="00365313"/>
    <w:rsid w:val="00367112"/>
    <w:rsid w:val="0037209F"/>
    <w:rsid w:val="00372238"/>
    <w:rsid w:val="003735E1"/>
    <w:rsid w:val="00374E54"/>
    <w:rsid w:val="00375D6A"/>
    <w:rsid w:val="00375D85"/>
    <w:rsid w:val="00376B7A"/>
    <w:rsid w:val="00377541"/>
    <w:rsid w:val="00380B80"/>
    <w:rsid w:val="0038388F"/>
    <w:rsid w:val="00384E24"/>
    <w:rsid w:val="00385DA3"/>
    <w:rsid w:val="00385F7E"/>
    <w:rsid w:val="00390906"/>
    <w:rsid w:val="00390DC9"/>
    <w:rsid w:val="003914DA"/>
    <w:rsid w:val="00392552"/>
    <w:rsid w:val="00392A81"/>
    <w:rsid w:val="0039394F"/>
    <w:rsid w:val="00394677"/>
    <w:rsid w:val="00394950"/>
    <w:rsid w:val="00395A95"/>
    <w:rsid w:val="00396257"/>
    <w:rsid w:val="00397B94"/>
    <w:rsid w:val="003A05F1"/>
    <w:rsid w:val="003A0C85"/>
    <w:rsid w:val="003A0EE4"/>
    <w:rsid w:val="003A1D03"/>
    <w:rsid w:val="003A4079"/>
    <w:rsid w:val="003A4C3C"/>
    <w:rsid w:val="003A5182"/>
    <w:rsid w:val="003A6337"/>
    <w:rsid w:val="003A6466"/>
    <w:rsid w:val="003B060B"/>
    <w:rsid w:val="003B0653"/>
    <w:rsid w:val="003B07EB"/>
    <w:rsid w:val="003B1273"/>
    <w:rsid w:val="003B168E"/>
    <w:rsid w:val="003B3023"/>
    <w:rsid w:val="003B36D1"/>
    <w:rsid w:val="003B40DE"/>
    <w:rsid w:val="003B6F67"/>
    <w:rsid w:val="003B76BE"/>
    <w:rsid w:val="003C056B"/>
    <w:rsid w:val="003C125E"/>
    <w:rsid w:val="003C3BED"/>
    <w:rsid w:val="003C5ADC"/>
    <w:rsid w:val="003C5F45"/>
    <w:rsid w:val="003C6309"/>
    <w:rsid w:val="003C6521"/>
    <w:rsid w:val="003C6959"/>
    <w:rsid w:val="003C6A2D"/>
    <w:rsid w:val="003C6C74"/>
    <w:rsid w:val="003D1169"/>
    <w:rsid w:val="003D1653"/>
    <w:rsid w:val="003D3D8C"/>
    <w:rsid w:val="003D4CCA"/>
    <w:rsid w:val="003D651C"/>
    <w:rsid w:val="003E0DA0"/>
    <w:rsid w:val="003E1208"/>
    <w:rsid w:val="003E1842"/>
    <w:rsid w:val="003E1D1A"/>
    <w:rsid w:val="003E1D93"/>
    <w:rsid w:val="003E2E27"/>
    <w:rsid w:val="003E4360"/>
    <w:rsid w:val="003E5586"/>
    <w:rsid w:val="003E6E1E"/>
    <w:rsid w:val="003E7401"/>
    <w:rsid w:val="003E773C"/>
    <w:rsid w:val="003E7C8D"/>
    <w:rsid w:val="003E7F18"/>
    <w:rsid w:val="003F1A13"/>
    <w:rsid w:val="003F2FAD"/>
    <w:rsid w:val="003F3D22"/>
    <w:rsid w:val="003F4AB6"/>
    <w:rsid w:val="003F4AD5"/>
    <w:rsid w:val="003F5667"/>
    <w:rsid w:val="003F5AE6"/>
    <w:rsid w:val="003F6DDC"/>
    <w:rsid w:val="003F78EA"/>
    <w:rsid w:val="00403A22"/>
    <w:rsid w:val="00405020"/>
    <w:rsid w:val="00405065"/>
    <w:rsid w:val="00407302"/>
    <w:rsid w:val="00411098"/>
    <w:rsid w:val="00411F0C"/>
    <w:rsid w:val="004124D7"/>
    <w:rsid w:val="00412D51"/>
    <w:rsid w:val="004147A0"/>
    <w:rsid w:val="00414FBB"/>
    <w:rsid w:val="00415628"/>
    <w:rsid w:val="004162AE"/>
    <w:rsid w:val="00417C77"/>
    <w:rsid w:val="0042135F"/>
    <w:rsid w:val="004243EB"/>
    <w:rsid w:val="0042478D"/>
    <w:rsid w:val="00426FB2"/>
    <w:rsid w:val="00431758"/>
    <w:rsid w:val="0043699F"/>
    <w:rsid w:val="00436B14"/>
    <w:rsid w:val="0043755B"/>
    <w:rsid w:val="00437FAF"/>
    <w:rsid w:val="00440C04"/>
    <w:rsid w:val="00442C36"/>
    <w:rsid w:val="00442EDE"/>
    <w:rsid w:val="0044331B"/>
    <w:rsid w:val="00445896"/>
    <w:rsid w:val="00446512"/>
    <w:rsid w:val="00447E88"/>
    <w:rsid w:val="0045013A"/>
    <w:rsid w:val="004508BC"/>
    <w:rsid w:val="00451EF2"/>
    <w:rsid w:val="00453B27"/>
    <w:rsid w:val="00453D73"/>
    <w:rsid w:val="0045448E"/>
    <w:rsid w:val="00455B1A"/>
    <w:rsid w:val="00455C1B"/>
    <w:rsid w:val="0045615D"/>
    <w:rsid w:val="00456760"/>
    <w:rsid w:val="00456BF9"/>
    <w:rsid w:val="00457009"/>
    <w:rsid w:val="0045740D"/>
    <w:rsid w:val="004575A8"/>
    <w:rsid w:val="00461E72"/>
    <w:rsid w:val="004626E5"/>
    <w:rsid w:val="00463165"/>
    <w:rsid w:val="00464065"/>
    <w:rsid w:val="0046408C"/>
    <w:rsid w:val="0046550E"/>
    <w:rsid w:val="00466A6B"/>
    <w:rsid w:val="00466B0B"/>
    <w:rsid w:val="0047021C"/>
    <w:rsid w:val="004717A1"/>
    <w:rsid w:val="0047293F"/>
    <w:rsid w:val="00475AD6"/>
    <w:rsid w:val="00477BB4"/>
    <w:rsid w:val="004815D4"/>
    <w:rsid w:val="00481B67"/>
    <w:rsid w:val="00484249"/>
    <w:rsid w:val="00484A03"/>
    <w:rsid w:val="00485433"/>
    <w:rsid w:val="004872C7"/>
    <w:rsid w:val="00487A80"/>
    <w:rsid w:val="00491E7D"/>
    <w:rsid w:val="004926C9"/>
    <w:rsid w:val="00494557"/>
    <w:rsid w:val="004A0B34"/>
    <w:rsid w:val="004A19DB"/>
    <w:rsid w:val="004A3308"/>
    <w:rsid w:val="004A509C"/>
    <w:rsid w:val="004A57D5"/>
    <w:rsid w:val="004A61E5"/>
    <w:rsid w:val="004A7C8D"/>
    <w:rsid w:val="004B0085"/>
    <w:rsid w:val="004B020B"/>
    <w:rsid w:val="004B072D"/>
    <w:rsid w:val="004B0F16"/>
    <w:rsid w:val="004B1891"/>
    <w:rsid w:val="004B1A93"/>
    <w:rsid w:val="004B1EB4"/>
    <w:rsid w:val="004B2B5E"/>
    <w:rsid w:val="004B2FF8"/>
    <w:rsid w:val="004B5DDF"/>
    <w:rsid w:val="004C1A16"/>
    <w:rsid w:val="004C2AED"/>
    <w:rsid w:val="004C2B57"/>
    <w:rsid w:val="004C2F43"/>
    <w:rsid w:val="004C38A3"/>
    <w:rsid w:val="004C4B4D"/>
    <w:rsid w:val="004C560A"/>
    <w:rsid w:val="004C6AA9"/>
    <w:rsid w:val="004C78CA"/>
    <w:rsid w:val="004C7CA4"/>
    <w:rsid w:val="004D1B6B"/>
    <w:rsid w:val="004D2A86"/>
    <w:rsid w:val="004D30DC"/>
    <w:rsid w:val="004D3129"/>
    <w:rsid w:val="004D35E5"/>
    <w:rsid w:val="004D4143"/>
    <w:rsid w:val="004D480E"/>
    <w:rsid w:val="004D5FE5"/>
    <w:rsid w:val="004D6E61"/>
    <w:rsid w:val="004E0807"/>
    <w:rsid w:val="004E21EF"/>
    <w:rsid w:val="004E23A8"/>
    <w:rsid w:val="004E2CC6"/>
    <w:rsid w:val="004E2EF4"/>
    <w:rsid w:val="004E2FD6"/>
    <w:rsid w:val="004E435E"/>
    <w:rsid w:val="004E5DDB"/>
    <w:rsid w:val="004E6515"/>
    <w:rsid w:val="004E707F"/>
    <w:rsid w:val="004E7733"/>
    <w:rsid w:val="004F057F"/>
    <w:rsid w:val="004F1F79"/>
    <w:rsid w:val="004F5BC6"/>
    <w:rsid w:val="004F5C75"/>
    <w:rsid w:val="004F7DB6"/>
    <w:rsid w:val="004F7F3C"/>
    <w:rsid w:val="00500324"/>
    <w:rsid w:val="00500DC5"/>
    <w:rsid w:val="00502946"/>
    <w:rsid w:val="00502992"/>
    <w:rsid w:val="00503213"/>
    <w:rsid w:val="00503C12"/>
    <w:rsid w:val="00503E03"/>
    <w:rsid w:val="005042C4"/>
    <w:rsid w:val="00505707"/>
    <w:rsid w:val="00505FF6"/>
    <w:rsid w:val="00510928"/>
    <w:rsid w:val="0051110B"/>
    <w:rsid w:val="0051235D"/>
    <w:rsid w:val="005124B3"/>
    <w:rsid w:val="00515B63"/>
    <w:rsid w:val="00515C34"/>
    <w:rsid w:val="005235B5"/>
    <w:rsid w:val="00524190"/>
    <w:rsid w:val="005270F5"/>
    <w:rsid w:val="005278E3"/>
    <w:rsid w:val="005304A7"/>
    <w:rsid w:val="00530DBF"/>
    <w:rsid w:val="00532A79"/>
    <w:rsid w:val="00533AB6"/>
    <w:rsid w:val="00533EF5"/>
    <w:rsid w:val="005346EB"/>
    <w:rsid w:val="0053562C"/>
    <w:rsid w:val="00535A15"/>
    <w:rsid w:val="00535AB4"/>
    <w:rsid w:val="005361DB"/>
    <w:rsid w:val="005439FB"/>
    <w:rsid w:val="0054468B"/>
    <w:rsid w:val="005455A9"/>
    <w:rsid w:val="00546BE7"/>
    <w:rsid w:val="00547BA6"/>
    <w:rsid w:val="00552094"/>
    <w:rsid w:val="00552BBA"/>
    <w:rsid w:val="0055422E"/>
    <w:rsid w:val="00555511"/>
    <w:rsid w:val="00555E75"/>
    <w:rsid w:val="00555F9C"/>
    <w:rsid w:val="00556A2D"/>
    <w:rsid w:val="00556A80"/>
    <w:rsid w:val="00556CA7"/>
    <w:rsid w:val="005574DC"/>
    <w:rsid w:val="00560162"/>
    <w:rsid w:val="005616E6"/>
    <w:rsid w:val="00562E23"/>
    <w:rsid w:val="005657D8"/>
    <w:rsid w:val="00565E90"/>
    <w:rsid w:val="00566E33"/>
    <w:rsid w:val="00566F56"/>
    <w:rsid w:val="005707B8"/>
    <w:rsid w:val="005735C3"/>
    <w:rsid w:val="005737FE"/>
    <w:rsid w:val="00575CCD"/>
    <w:rsid w:val="005765AC"/>
    <w:rsid w:val="00576783"/>
    <w:rsid w:val="005774EB"/>
    <w:rsid w:val="005776D7"/>
    <w:rsid w:val="00577B4D"/>
    <w:rsid w:val="00577BED"/>
    <w:rsid w:val="00580736"/>
    <w:rsid w:val="00583A0E"/>
    <w:rsid w:val="00583ABE"/>
    <w:rsid w:val="00583C57"/>
    <w:rsid w:val="0058407F"/>
    <w:rsid w:val="0058443A"/>
    <w:rsid w:val="00584471"/>
    <w:rsid w:val="00587ABF"/>
    <w:rsid w:val="00593DBE"/>
    <w:rsid w:val="005944D9"/>
    <w:rsid w:val="00594F9E"/>
    <w:rsid w:val="0059558D"/>
    <w:rsid w:val="00595B00"/>
    <w:rsid w:val="0059694F"/>
    <w:rsid w:val="00596C0A"/>
    <w:rsid w:val="005A264D"/>
    <w:rsid w:val="005A27E0"/>
    <w:rsid w:val="005A2FB4"/>
    <w:rsid w:val="005A31AB"/>
    <w:rsid w:val="005A547E"/>
    <w:rsid w:val="005A5BDF"/>
    <w:rsid w:val="005B1D8D"/>
    <w:rsid w:val="005B2A3A"/>
    <w:rsid w:val="005B2C50"/>
    <w:rsid w:val="005B3F2F"/>
    <w:rsid w:val="005B4720"/>
    <w:rsid w:val="005B51FC"/>
    <w:rsid w:val="005B5CA0"/>
    <w:rsid w:val="005B675D"/>
    <w:rsid w:val="005C05FD"/>
    <w:rsid w:val="005C1001"/>
    <w:rsid w:val="005C3AF5"/>
    <w:rsid w:val="005C50CE"/>
    <w:rsid w:val="005C6754"/>
    <w:rsid w:val="005C7184"/>
    <w:rsid w:val="005C7F0B"/>
    <w:rsid w:val="005D1A3C"/>
    <w:rsid w:val="005D1B5A"/>
    <w:rsid w:val="005D3FBF"/>
    <w:rsid w:val="005D4256"/>
    <w:rsid w:val="005D54BF"/>
    <w:rsid w:val="005D562F"/>
    <w:rsid w:val="005D6563"/>
    <w:rsid w:val="005D68EF"/>
    <w:rsid w:val="005E031E"/>
    <w:rsid w:val="005E1574"/>
    <w:rsid w:val="005E195E"/>
    <w:rsid w:val="005E316F"/>
    <w:rsid w:val="005E441B"/>
    <w:rsid w:val="005E4C0A"/>
    <w:rsid w:val="005E501F"/>
    <w:rsid w:val="005E6448"/>
    <w:rsid w:val="005E66BC"/>
    <w:rsid w:val="005F0BFE"/>
    <w:rsid w:val="005F11A8"/>
    <w:rsid w:val="005F5993"/>
    <w:rsid w:val="005F770B"/>
    <w:rsid w:val="006023F5"/>
    <w:rsid w:val="006033DF"/>
    <w:rsid w:val="0060393B"/>
    <w:rsid w:val="00607765"/>
    <w:rsid w:val="006107F8"/>
    <w:rsid w:val="006108C5"/>
    <w:rsid w:val="00611834"/>
    <w:rsid w:val="00612D6B"/>
    <w:rsid w:val="00615A90"/>
    <w:rsid w:val="006167E7"/>
    <w:rsid w:val="00622DB5"/>
    <w:rsid w:val="00624EFE"/>
    <w:rsid w:val="00625531"/>
    <w:rsid w:val="00625F3F"/>
    <w:rsid w:val="00626232"/>
    <w:rsid w:val="00627D12"/>
    <w:rsid w:val="00630E1D"/>
    <w:rsid w:val="006332D6"/>
    <w:rsid w:val="0063463B"/>
    <w:rsid w:val="006356B3"/>
    <w:rsid w:val="0063619A"/>
    <w:rsid w:val="00637BC4"/>
    <w:rsid w:val="00637E55"/>
    <w:rsid w:val="00640428"/>
    <w:rsid w:val="006405F4"/>
    <w:rsid w:val="00642DAB"/>
    <w:rsid w:val="0064331C"/>
    <w:rsid w:val="006437C0"/>
    <w:rsid w:val="00645496"/>
    <w:rsid w:val="00646850"/>
    <w:rsid w:val="00646D06"/>
    <w:rsid w:val="0065097B"/>
    <w:rsid w:val="00652036"/>
    <w:rsid w:val="006525EA"/>
    <w:rsid w:val="00652C9D"/>
    <w:rsid w:val="00654FA3"/>
    <w:rsid w:val="006553A7"/>
    <w:rsid w:val="0065608C"/>
    <w:rsid w:val="006561F3"/>
    <w:rsid w:val="00656B6B"/>
    <w:rsid w:val="0065764F"/>
    <w:rsid w:val="0065767A"/>
    <w:rsid w:val="00657A29"/>
    <w:rsid w:val="00657E53"/>
    <w:rsid w:val="00657EFC"/>
    <w:rsid w:val="006609E2"/>
    <w:rsid w:val="006613EF"/>
    <w:rsid w:val="00663109"/>
    <w:rsid w:val="0066357A"/>
    <w:rsid w:val="00665038"/>
    <w:rsid w:val="00665DE5"/>
    <w:rsid w:val="00666165"/>
    <w:rsid w:val="006662AB"/>
    <w:rsid w:val="00667410"/>
    <w:rsid w:val="00670B6E"/>
    <w:rsid w:val="00671597"/>
    <w:rsid w:val="006736F5"/>
    <w:rsid w:val="00675064"/>
    <w:rsid w:val="00675A47"/>
    <w:rsid w:val="006774DC"/>
    <w:rsid w:val="006778C6"/>
    <w:rsid w:val="006817B5"/>
    <w:rsid w:val="00681E7F"/>
    <w:rsid w:val="00682753"/>
    <w:rsid w:val="0068375B"/>
    <w:rsid w:val="0068414D"/>
    <w:rsid w:val="00684FEB"/>
    <w:rsid w:val="0068610B"/>
    <w:rsid w:val="0069014D"/>
    <w:rsid w:val="0069080C"/>
    <w:rsid w:val="006922BB"/>
    <w:rsid w:val="0069258B"/>
    <w:rsid w:val="006929B4"/>
    <w:rsid w:val="0069485B"/>
    <w:rsid w:val="0069789E"/>
    <w:rsid w:val="00697BF1"/>
    <w:rsid w:val="00697DFF"/>
    <w:rsid w:val="006A2543"/>
    <w:rsid w:val="006A2C64"/>
    <w:rsid w:val="006A2E4E"/>
    <w:rsid w:val="006A393C"/>
    <w:rsid w:val="006A4FEB"/>
    <w:rsid w:val="006A5814"/>
    <w:rsid w:val="006A58DA"/>
    <w:rsid w:val="006A70B9"/>
    <w:rsid w:val="006A760E"/>
    <w:rsid w:val="006B0147"/>
    <w:rsid w:val="006B0809"/>
    <w:rsid w:val="006B0B80"/>
    <w:rsid w:val="006B17F5"/>
    <w:rsid w:val="006B2896"/>
    <w:rsid w:val="006B3ABB"/>
    <w:rsid w:val="006B41D2"/>
    <w:rsid w:val="006B6DB1"/>
    <w:rsid w:val="006B7F03"/>
    <w:rsid w:val="006C316B"/>
    <w:rsid w:val="006C3735"/>
    <w:rsid w:val="006C5024"/>
    <w:rsid w:val="006C523B"/>
    <w:rsid w:val="006C526B"/>
    <w:rsid w:val="006C59BD"/>
    <w:rsid w:val="006C670A"/>
    <w:rsid w:val="006C6973"/>
    <w:rsid w:val="006D0D72"/>
    <w:rsid w:val="006D13C6"/>
    <w:rsid w:val="006D1DD0"/>
    <w:rsid w:val="006D1FA0"/>
    <w:rsid w:val="006D258F"/>
    <w:rsid w:val="006D25D5"/>
    <w:rsid w:val="006D3718"/>
    <w:rsid w:val="006D4BB8"/>
    <w:rsid w:val="006D5204"/>
    <w:rsid w:val="006D633D"/>
    <w:rsid w:val="006D7546"/>
    <w:rsid w:val="006D7BA3"/>
    <w:rsid w:val="006E0759"/>
    <w:rsid w:val="006E1806"/>
    <w:rsid w:val="006E2558"/>
    <w:rsid w:val="006E38A3"/>
    <w:rsid w:val="006E4EFA"/>
    <w:rsid w:val="006E59D2"/>
    <w:rsid w:val="006E5A1A"/>
    <w:rsid w:val="006E5C7A"/>
    <w:rsid w:val="006E5F75"/>
    <w:rsid w:val="006E6007"/>
    <w:rsid w:val="006E623D"/>
    <w:rsid w:val="006E64EE"/>
    <w:rsid w:val="006E6AFB"/>
    <w:rsid w:val="006E749A"/>
    <w:rsid w:val="006F0476"/>
    <w:rsid w:val="006F058D"/>
    <w:rsid w:val="006F4AA2"/>
    <w:rsid w:val="006F4ACA"/>
    <w:rsid w:val="006F5F0D"/>
    <w:rsid w:val="006F6294"/>
    <w:rsid w:val="006F6FF2"/>
    <w:rsid w:val="00700005"/>
    <w:rsid w:val="00701034"/>
    <w:rsid w:val="0070145E"/>
    <w:rsid w:val="00704AD7"/>
    <w:rsid w:val="0070677A"/>
    <w:rsid w:val="0070701E"/>
    <w:rsid w:val="007076F0"/>
    <w:rsid w:val="00710AA8"/>
    <w:rsid w:val="00712486"/>
    <w:rsid w:val="00712DEF"/>
    <w:rsid w:val="007135D6"/>
    <w:rsid w:val="0072058D"/>
    <w:rsid w:val="00725233"/>
    <w:rsid w:val="00726463"/>
    <w:rsid w:val="00727478"/>
    <w:rsid w:val="00727ADA"/>
    <w:rsid w:val="00730024"/>
    <w:rsid w:val="00731BCD"/>
    <w:rsid w:val="00733091"/>
    <w:rsid w:val="007349F4"/>
    <w:rsid w:val="00734F92"/>
    <w:rsid w:val="00735BB1"/>
    <w:rsid w:val="00735BC8"/>
    <w:rsid w:val="00736913"/>
    <w:rsid w:val="00737C9A"/>
    <w:rsid w:val="007416A8"/>
    <w:rsid w:val="00741B4F"/>
    <w:rsid w:val="00741DD3"/>
    <w:rsid w:val="0074269E"/>
    <w:rsid w:val="00742E90"/>
    <w:rsid w:val="00744DBD"/>
    <w:rsid w:val="00746EFE"/>
    <w:rsid w:val="00747231"/>
    <w:rsid w:val="00750DDB"/>
    <w:rsid w:val="007515E2"/>
    <w:rsid w:val="007517CB"/>
    <w:rsid w:val="00752D72"/>
    <w:rsid w:val="00752F33"/>
    <w:rsid w:val="00755A06"/>
    <w:rsid w:val="00756988"/>
    <w:rsid w:val="00762089"/>
    <w:rsid w:val="00762FC3"/>
    <w:rsid w:val="00763331"/>
    <w:rsid w:val="00763671"/>
    <w:rsid w:val="007639DD"/>
    <w:rsid w:val="00763D26"/>
    <w:rsid w:val="00764913"/>
    <w:rsid w:val="007651C0"/>
    <w:rsid w:val="00765C70"/>
    <w:rsid w:val="00770749"/>
    <w:rsid w:val="00770B1A"/>
    <w:rsid w:val="007720C9"/>
    <w:rsid w:val="007723F2"/>
    <w:rsid w:val="0077346C"/>
    <w:rsid w:val="00774347"/>
    <w:rsid w:val="00774C9E"/>
    <w:rsid w:val="00775F12"/>
    <w:rsid w:val="007773A6"/>
    <w:rsid w:val="007779FA"/>
    <w:rsid w:val="00780117"/>
    <w:rsid w:val="00783719"/>
    <w:rsid w:val="0078575F"/>
    <w:rsid w:val="00786D9B"/>
    <w:rsid w:val="00786DE8"/>
    <w:rsid w:val="00790E99"/>
    <w:rsid w:val="00790FFF"/>
    <w:rsid w:val="00791647"/>
    <w:rsid w:val="00791FE5"/>
    <w:rsid w:val="007A01C1"/>
    <w:rsid w:val="007A024E"/>
    <w:rsid w:val="007A1102"/>
    <w:rsid w:val="007A1B13"/>
    <w:rsid w:val="007A2379"/>
    <w:rsid w:val="007A30F8"/>
    <w:rsid w:val="007A3D9F"/>
    <w:rsid w:val="007A493C"/>
    <w:rsid w:val="007A5A77"/>
    <w:rsid w:val="007A611C"/>
    <w:rsid w:val="007A6A19"/>
    <w:rsid w:val="007A7AB7"/>
    <w:rsid w:val="007B0326"/>
    <w:rsid w:val="007B057C"/>
    <w:rsid w:val="007B0D96"/>
    <w:rsid w:val="007B1D21"/>
    <w:rsid w:val="007B2E44"/>
    <w:rsid w:val="007B41FC"/>
    <w:rsid w:val="007B4F7B"/>
    <w:rsid w:val="007B5225"/>
    <w:rsid w:val="007B6F9A"/>
    <w:rsid w:val="007C0D27"/>
    <w:rsid w:val="007C182F"/>
    <w:rsid w:val="007C1F0C"/>
    <w:rsid w:val="007C2826"/>
    <w:rsid w:val="007C2930"/>
    <w:rsid w:val="007C2DF9"/>
    <w:rsid w:val="007C3CF4"/>
    <w:rsid w:val="007C452F"/>
    <w:rsid w:val="007C4D30"/>
    <w:rsid w:val="007C524C"/>
    <w:rsid w:val="007C57DC"/>
    <w:rsid w:val="007C60F8"/>
    <w:rsid w:val="007C7193"/>
    <w:rsid w:val="007D0F84"/>
    <w:rsid w:val="007D18FD"/>
    <w:rsid w:val="007D2868"/>
    <w:rsid w:val="007D33CC"/>
    <w:rsid w:val="007D59DF"/>
    <w:rsid w:val="007D5DBB"/>
    <w:rsid w:val="007D6F33"/>
    <w:rsid w:val="007E0215"/>
    <w:rsid w:val="007E0B83"/>
    <w:rsid w:val="007E1BE7"/>
    <w:rsid w:val="007E2A5B"/>
    <w:rsid w:val="007E3468"/>
    <w:rsid w:val="007E5DE0"/>
    <w:rsid w:val="007E69FB"/>
    <w:rsid w:val="007E6B32"/>
    <w:rsid w:val="007E7CB9"/>
    <w:rsid w:val="007F0390"/>
    <w:rsid w:val="007F0F8E"/>
    <w:rsid w:val="007F104A"/>
    <w:rsid w:val="007F1B39"/>
    <w:rsid w:val="007F1C8C"/>
    <w:rsid w:val="007F2132"/>
    <w:rsid w:val="007F2D6E"/>
    <w:rsid w:val="007F2E83"/>
    <w:rsid w:val="007F2F77"/>
    <w:rsid w:val="007F434F"/>
    <w:rsid w:val="008019B0"/>
    <w:rsid w:val="008051BA"/>
    <w:rsid w:val="0080701B"/>
    <w:rsid w:val="00807E6F"/>
    <w:rsid w:val="0081456E"/>
    <w:rsid w:val="00814763"/>
    <w:rsid w:val="00814B1B"/>
    <w:rsid w:val="0081546F"/>
    <w:rsid w:val="00815BBE"/>
    <w:rsid w:val="008168F9"/>
    <w:rsid w:val="00817066"/>
    <w:rsid w:val="00820C7A"/>
    <w:rsid w:val="00820ED7"/>
    <w:rsid w:val="008212B4"/>
    <w:rsid w:val="00822742"/>
    <w:rsid w:val="0082275B"/>
    <w:rsid w:val="0082303D"/>
    <w:rsid w:val="00823E04"/>
    <w:rsid w:val="00824884"/>
    <w:rsid w:val="008256C6"/>
    <w:rsid w:val="00825D3A"/>
    <w:rsid w:val="008304FE"/>
    <w:rsid w:val="00830DEC"/>
    <w:rsid w:val="0083160F"/>
    <w:rsid w:val="0083193D"/>
    <w:rsid w:val="0083259F"/>
    <w:rsid w:val="008336AF"/>
    <w:rsid w:val="00833A28"/>
    <w:rsid w:val="00833C56"/>
    <w:rsid w:val="008342CE"/>
    <w:rsid w:val="00834411"/>
    <w:rsid w:val="008348F5"/>
    <w:rsid w:val="00834A96"/>
    <w:rsid w:val="00835C11"/>
    <w:rsid w:val="008419B0"/>
    <w:rsid w:val="008421A5"/>
    <w:rsid w:val="0084511B"/>
    <w:rsid w:val="008454A3"/>
    <w:rsid w:val="00846240"/>
    <w:rsid w:val="008468A1"/>
    <w:rsid w:val="0085213F"/>
    <w:rsid w:val="00857C75"/>
    <w:rsid w:val="0086095E"/>
    <w:rsid w:val="00862111"/>
    <w:rsid w:val="00862863"/>
    <w:rsid w:val="00864CC7"/>
    <w:rsid w:val="00864E60"/>
    <w:rsid w:val="00864FFC"/>
    <w:rsid w:val="008655F1"/>
    <w:rsid w:val="00865625"/>
    <w:rsid w:val="00865704"/>
    <w:rsid w:val="0086760C"/>
    <w:rsid w:val="00871E7C"/>
    <w:rsid w:val="00871FFF"/>
    <w:rsid w:val="00873FD3"/>
    <w:rsid w:val="00874296"/>
    <w:rsid w:val="00874EEC"/>
    <w:rsid w:val="008764B5"/>
    <w:rsid w:val="0087657C"/>
    <w:rsid w:val="00880213"/>
    <w:rsid w:val="00880B4A"/>
    <w:rsid w:val="0088194C"/>
    <w:rsid w:val="00882668"/>
    <w:rsid w:val="00885979"/>
    <w:rsid w:val="00885C9C"/>
    <w:rsid w:val="00891151"/>
    <w:rsid w:val="008931D9"/>
    <w:rsid w:val="00897BCD"/>
    <w:rsid w:val="00897D94"/>
    <w:rsid w:val="008A0311"/>
    <w:rsid w:val="008A2AD2"/>
    <w:rsid w:val="008A3ACF"/>
    <w:rsid w:val="008A3D27"/>
    <w:rsid w:val="008A50FB"/>
    <w:rsid w:val="008A6012"/>
    <w:rsid w:val="008A7A5D"/>
    <w:rsid w:val="008B030E"/>
    <w:rsid w:val="008B0876"/>
    <w:rsid w:val="008B117B"/>
    <w:rsid w:val="008B1ACD"/>
    <w:rsid w:val="008B34DC"/>
    <w:rsid w:val="008B3DB9"/>
    <w:rsid w:val="008B533A"/>
    <w:rsid w:val="008B75AB"/>
    <w:rsid w:val="008B75F4"/>
    <w:rsid w:val="008C031A"/>
    <w:rsid w:val="008C1084"/>
    <w:rsid w:val="008C133D"/>
    <w:rsid w:val="008C1C93"/>
    <w:rsid w:val="008C35DF"/>
    <w:rsid w:val="008C4502"/>
    <w:rsid w:val="008C48F6"/>
    <w:rsid w:val="008C5047"/>
    <w:rsid w:val="008C55E1"/>
    <w:rsid w:val="008C63FB"/>
    <w:rsid w:val="008C6B1A"/>
    <w:rsid w:val="008D0C18"/>
    <w:rsid w:val="008D2C9A"/>
    <w:rsid w:val="008D3398"/>
    <w:rsid w:val="008D4519"/>
    <w:rsid w:val="008D4F2C"/>
    <w:rsid w:val="008D66E5"/>
    <w:rsid w:val="008D6EB0"/>
    <w:rsid w:val="008D7192"/>
    <w:rsid w:val="008D75F0"/>
    <w:rsid w:val="008E05AF"/>
    <w:rsid w:val="008E0D4E"/>
    <w:rsid w:val="008E12D5"/>
    <w:rsid w:val="008E3953"/>
    <w:rsid w:val="008E41D0"/>
    <w:rsid w:val="008E42DC"/>
    <w:rsid w:val="008E441F"/>
    <w:rsid w:val="008E6EC7"/>
    <w:rsid w:val="008E6F11"/>
    <w:rsid w:val="008E7852"/>
    <w:rsid w:val="008F13A9"/>
    <w:rsid w:val="008F2969"/>
    <w:rsid w:val="008F33E3"/>
    <w:rsid w:val="008F3BEB"/>
    <w:rsid w:val="008F48E0"/>
    <w:rsid w:val="008F4DB9"/>
    <w:rsid w:val="008F583E"/>
    <w:rsid w:val="00900625"/>
    <w:rsid w:val="00900B88"/>
    <w:rsid w:val="00900D12"/>
    <w:rsid w:val="00902749"/>
    <w:rsid w:val="00903882"/>
    <w:rsid w:val="00904B91"/>
    <w:rsid w:val="00904F4B"/>
    <w:rsid w:val="009116CA"/>
    <w:rsid w:val="00911D32"/>
    <w:rsid w:val="00911ED0"/>
    <w:rsid w:val="0091381E"/>
    <w:rsid w:val="00914339"/>
    <w:rsid w:val="00914849"/>
    <w:rsid w:val="00914F3E"/>
    <w:rsid w:val="00917D20"/>
    <w:rsid w:val="00917D94"/>
    <w:rsid w:val="009217FE"/>
    <w:rsid w:val="009226E5"/>
    <w:rsid w:val="009230A2"/>
    <w:rsid w:val="00923109"/>
    <w:rsid w:val="00923413"/>
    <w:rsid w:val="0092379E"/>
    <w:rsid w:val="00923EE8"/>
    <w:rsid w:val="009254A6"/>
    <w:rsid w:val="009274BE"/>
    <w:rsid w:val="0093089C"/>
    <w:rsid w:val="00931334"/>
    <w:rsid w:val="0093265B"/>
    <w:rsid w:val="00934D63"/>
    <w:rsid w:val="00935ED7"/>
    <w:rsid w:val="009364E9"/>
    <w:rsid w:val="00940960"/>
    <w:rsid w:val="00942239"/>
    <w:rsid w:val="00942E33"/>
    <w:rsid w:val="00944B79"/>
    <w:rsid w:val="009461DE"/>
    <w:rsid w:val="00946885"/>
    <w:rsid w:val="00947977"/>
    <w:rsid w:val="00947E73"/>
    <w:rsid w:val="009515CB"/>
    <w:rsid w:val="00951FE9"/>
    <w:rsid w:val="00953B92"/>
    <w:rsid w:val="009543FC"/>
    <w:rsid w:val="00954F2C"/>
    <w:rsid w:val="00955FCB"/>
    <w:rsid w:val="00960122"/>
    <w:rsid w:val="00960820"/>
    <w:rsid w:val="0096170F"/>
    <w:rsid w:val="00962200"/>
    <w:rsid w:val="009637F2"/>
    <w:rsid w:val="00964DB1"/>
    <w:rsid w:val="00967AF5"/>
    <w:rsid w:val="00967C15"/>
    <w:rsid w:val="00970C20"/>
    <w:rsid w:val="0097153E"/>
    <w:rsid w:val="009721FA"/>
    <w:rsid w:val="009726DC"/>
    <w:rsid w:val="009728FB"/>
    <w:rsid w:val="009736A3"/>
    <w:rsid w:val="00974F53"/>
    <w:rsid w:val="0097544F"/>
    <w:rsid w:val="009777F8"/>
    <w:rsid w:val="00981B26"/>
    <w:rsid w:val="00982BB8"/>
    <w:rsid w:val="009831D6"/>
    <w:rsid w:val="00983489"/>
    <w:rsid w:val="00985B11"/>
    <w:rsid w:val="009871E9"/>
    <w:rsid w:val="00987350"/>
    <w:rsid w:val="009873F7"/>
    <w:rsid w:val="00987D50"/>
    <w:rsid w:val="009928B6"/>
    <w:rsid w:val="00992B15"/>
    <w:rsid w:val="00992D3A"/>
    <w:rsid w:val="00994E02"/>
    <w:rsid w:val="0099541C"/>
    <w:rsid w:val="009954C9"/>
    <w:rsid w:val="0099595C"/>
    <w:rsid w:val="0099622E"/>
    <w:rsid w:val="009A0D7F"/>
    <w:rsid w:val="009A10AA"/>
    <w:rsid w:val="009A142B"/>
    <w:rsid w:val="009A1E1D"/>
    <w:rsid w:val="009A2298"/>
    <w:rsid w:val="009A2F69"/>
    <w:rsid w:val="009A3964"/>
    <w:rsid w:val="009A7AB0"/>
    <w:rsid w:val="009A7CB5"/>
    <w:rsid w:val="009B120C"/>
    <w:rsid w:val="009B2750"/>
    <w:rsid w:val="009B439C"/>
    <w:rsid w:val="009B5130"/>
    <w:rsid w:val="009B640F"/>
    <w:rsid w:val="009B6C5D"/>
    <w:rsid w:val="009B6F18"/>
    <w:rsid w:val="009B7CC3"/>
    <w:rsid w:val="009C0062"/>
    <w:rsid w:val="009C1286"/>
    <w:rsid w:val="009C2C68"/>
    <w:rsid w:val="009C378F"/>
    <w:rsid w:val="009C4739"/>
    <w:rsid w:val="009C6816"/>
    <w:rsid w:val="009D27B6"/>
    <w:rsid w:val="009D6816"/>
    <w:rsid w:val="009D7E20"/>
    <w:rsid w:val="009E0347"/>
    <w:rsid w:val="009E081E"/>
    <w:rsid w:val="009E1423"/>
    <w:rsid w:val="009E1F81"/>
    <w:rsid w:val="009E4631"/>
    <w:rsid w:val="009E4793"/>
    <w:rsid w:val="009E4C32"/>
    <w:rsid w:val="009E5644"/>
    <w:rsid w:val="009E6061"/>
    <w:rsid w:val="009E6D25"/>
    <w:rsid w:val="009E7C85"/>
    <w:rsid w:val="009F1C6C"/>
    <w:rsid w:val="009F2B54"/>
    <w:rsid w:val="009F2CC9"/>
    <w:rsid w:val="009F2E10"/>
    <w:rsid w:val="009F36E0"/>
    <w:rsid w:val="009F4E24"/>
    <w:rsid w:val="009F556C"/>
    <w:rsid w:val="009F625D"/>
    <w:rsid w:val="009F69E8"/>
    <w:rsid w:val="009F6D56"/>
    <w:rsid w:val="009F741E"/>
    <w:rsid w:val="009F7A87"/>
    <w:rsid w:val="00A00552"/>
    <w:rsid w:val="00A0079B"/>
    <w:rsid w:val="00A0112C"/>
    <w:rsid w:val="00A01690"/>
    <w:rsid w:val="00A04924"/>
    <w:rsid w:val="00A065D7"/>
    <w:rsid w:val="00A074C1"/>
    <w:rsid w:val="00A078B0"/>
    <w:rsid w:val="00A110DB"/>
    <w:rsid w:val="00A113AD"/>
    <w:rsid w:val="00A11EA7"/>
    <w:rsid w:val="00A11F2C"/>
    <w:rsid w:val="00A15B6A"/>
    <w:rsid w:val="00A15C78"/>
    <w:rsid w:val="00A17373"/>
    <w:rsid w:val="00A209A1"/>
    <w:rsid w:val="00A20A4B"/>
    <w:rsid w:val="00A20DD0"/>
    <w:rsid w:val="00A214E5"/>
    <w:rsid w:val="00A221B7"/>
    <w:rsid w:val="00A222A1"/>
    <w:rsid w:val="00A226B2"/>
    <w:rsid w:val="00A226C2"/>
    <w:rsid w:val="00A22976"/>
    <w:rsid w:val="00A23240"/>
    <w:rsid w:val="00A2364D"/>
    <w:rsid w:val="00A23952"/>
    <w:rsid w:val="00A23AF7"/>
    <w:rsid w:val="00A25813"/>
    <w:rsid w:val="00A268A7"/>
    <w:rsid w:val="00A306C0"/>
    <w:rsid w:val="00A30FC0"/>
    <w:rsid w:val="00A31A6B"/>
    <w:rsid w:val="00A32304"/>
    <w:rsid w:val="00A33031"/>
    <w:rsid w:val="00A3421B"/>
    <w:rsid w:val="00A34929"/>
    <w:rsid w:val="00A364F8"/>
    <w:rsid w:val="00A36C0F"/>
    <w:rsid w:val="00A37735"/>
    <w:rsid w:val="00A40AF9"/>
    <w:rsid w:val="00A410EE"/>
    <w:rsid w:val="00A416C6"/>
    <w:rsid w:val="00A42DDB"/>
    <w:rsid w:val="00A4377D"/>
    <w:rsid w:val="00A44781"/>
    <w:rsid w:val="00A450C4"/>
    <w:rsid w:val="00A456C4"/>
    <w:rsid w:val="00A46177"/>
    <w:rsid w:val="00A46B41"/>
    <w:rsid w:val="00A475C1"/>
    <w:rsid w:val="00A50047"/>
    <w:rsid w:val="00A50F7E"/>
    <w:rsid w:val="00A51513"/>
    <w:rsid w:val="00A553C3"/>
    <w:rsid w:val="00A559CA"/>
    <w:rsid w:val="00A55BFB"/>
    <w:rsid w:val="00A56811"/>
    <w:rsid w:val="00A573D8"/>
    <w:rsid w:val="00A57E88"/>
    <w:rsid w:val="00A62F65"/>
    <w:rsid w:val="00A640ED"/>
    <w:rsid w:val="00A6473A"/>
    <w:rsid w:val="00A64E31"/>
    <w:rsid w:val="00A65580"/>
    <w:rsid w:val="00A70327"/>
    <w:rsid w:val="00A70B7E"/>
    <w:rsid w:val="00A7173A"/>
    <w:rsid w:val="00A730CF"/>
    <w:rsid w:val="00A73F72"/>
    <w:rsid w:val="00A76301"/>
    <w:rsid w:val="00A77974"/>
    <w:rsid w:val="00A84159"/>
    <w:rsid w:val="00A85324"/>
    <w:rsid w:val="00A8555A"/>
    <w:rsid w:val="00A8768F"/>
    <w:rsid w:val="00A91B83"/>
    <w:rsid w:val="00A9221C"/>
    <w:rsid w:val="00A9418B"/>
    <w:rsid w:val="00A94CCB"/>
    <w:rsid w:val="00A952EA"/>
    <w:rsid w:val="00A96D28"/>
    <w:rsid w:val="00AA03BA"/>
    <w:rsid w:val="00AA0A50"/>
    <w:rsid w:val="00AA1E31"/>
    <w:rsid w:val="00AA213E"/>
    <w:rsid w:val="00AA6D55"/>
    <w:rsid w:val="00AA7425"/>
    <w:rsid w:val="00AA77DF"/>
    <w:rsid w:val="00AB0391"/>
    <w:rsid w:val="00AB081E"/>
    <w:rsid w:val="00AB0FF0"/>
    <w:rsid w:val="00AB1448"/>
    <w:rsid w:val="00AB1A47"/>
    <w:rsid w:val="00AB2A25"/>
    <w:rsid w:val="00AB41D5"/>
    <w:rsid w:val="00AB539C"/>
    <w:rsid w:val="00AB56A8"/>
    <w:rsid w:val="00AC11E2"/>
    <w:rsid w:val="00AC634C"/>
    <w:rsid w:val="00AC63C0"/>
    <w:rsid w:val="00AC687E"/>
    <w:rsid w:val="00AC7692"/>
    <w:rsid w:val="00AD14CE"/>
    <w:rsid w:val="00AD1666"/>
    <w:rsid w:val="00AD2EEF"/>
    <w:rsid w:val="00AD4BA3"/>
    <w:rsid w:val="00AD6468"/>
    <w:rsid w:val="00AD67C9"/>
    <w:rsid w:val="00AD7574"/>
    <w:rsid w:val="00AE0CDC"/>
    <w:rsid w:val="00AE16C1"/>
    <w:rsid w:val="00AE19BD"/>
    <w:rsid w:val="00AE1BE6"/>
    <w:rsid w:val="00AE1C3A"/>
    <w:rsid w:val="00AE1EC8"/>
    <w:rsid w:val="00AE3C6E"/>
    <w:rsid w:val="00AE6415"/>
    <w:rsid w:val="00AF04B6"/>
    <w:rsid w:val="00AF05A2"/>
    <w:rsid w:val="00AF0792"/>
    <w:rsid w:val="00AF0A87"/>
    <w:rsid w:val="00AF0D25"/>
    <w:rsid w:val="00AF0EE7"/>
    <w:rsid w:val="00AF1026"/>
    <w:rsid w:val="00AF1B76"/>
    <w:rsid w:val="00AF1E2B"/>
    <w:rsid w:val="00AF3223"/>
    <w:rsid w:val="00AF324F"/>
    <w:rsid w:val="00AF3637"/>
    <w:rsid w:val="00AF3FCA"/>
    <w:rsid w:val="00AF585E"/>
    <w:rsid w:val="00AF6A4D"/>
    <w:rsid w:val="00B01D2B"/>
    <w:rsid w:val="00B02719"/>
    <w:rsid w:val="00B06339"/>
    <w:rsid w:val="00B06436"/>
    <w:rsid w:val="00B06C1E"/>
    <w:rsid w:val="00B07CE0"/>
    <w:rsid w:val="00B10921"/>
    <w:rsid w:val="00B10DC6"/>
    <w:rsid w:val="00B130A2"/>
    <w:rsid w:val="00B13E5A"/>
    <w:rsid w:val="00B146C4"/>
    <w:rsid w:val="00B15700"/>
    <w:rsid w:val="00B1616A"/>
    <w:rsid w:val="00B216F9"/>
    <w:rsid w:val="00B21DAD"/>
    <w:rsid w:val="00B2209F"/>
    <w:rsid w:val="00B22573"/>
    <w:rsid w:val="00B239E0"/>
    <w:rsid w:val="00B24078"/>
    <w:rsid w:val="00B24AD1"/>
    <w:rsid w:val="00B25752"/>
    <w:rsid w:val="00B25C1A"/>
    <w:rsid w:val="00B26B70"/>
    <w:rsid w:val="00B27906"/>
    <w:rsid w:val="00B27AA3"/>
    <w:rsid w:val="00B31BEB"/>
    <w:rsid w:val="00B34F16"/>
    <w:rsid w:val="00B35F11"/>
    <w:rsid w:val="00B370FF"/>
    <w:rsid w:val="00B40A75"/>
    <w:rsid w:val="00B410B7"/>
    <w:rsid w:val="00B41537"/>
    <w:rsid w:val="00B42845"/>
    <w:rsid w:val="00B43671"/>
    <w:rsid w:val="00B4392D"/>
    <w:rsid w:val="00B45718"/>
    <w:rsid w:val="00B465F3"/>
    <w:rsid w:val="00B50E0A"/>
    <w:rsid w:val="00B513F3"/>
    <w:rsid w:val="00B51437"/>
    <w:rsid w:val="00B53121"/>
    <w:rsid w:val="00B56394"/>
    <w:rsid w:val="00B60C1D"/>
    <w:rsid w:val="00B61E3D"/>
    <w:rsid w:val="00B62C5E"/>
    <w:rsid w:val="00B62E15"/>
    <w:rsid w:val="00B640E1"/>
    <w:rsid w:val="00B665D8"/>
    <w:rsid w:val="00B66DAC"/>
    <w:rsid w:val="00B704E6"/>
    <w:rsid w:val="00B7068D"/>
    <w:rsid w:val="00B72C69"/>
    <w:rsid w:val="00B72F7C"/>
    <w:rsid w:val="00B73760"/>
    <w:rsid w:val="00B83A96"/>
    <w:rsid w:val="00B84A1E"/>
    <w:rsid w:val="00B8536C"/>
    <w:rsid w:val="00B865CC"/>
    <w:rsid w:val="00B901F2"/>
    <w:rsid w:val="00B90E13"/>
    <w:rsid w:val="00B919F8"/>
    <w:rsid w:val="00B93E73"/>
    <w:rsid w:val="00B93F83"/>
    <w:rsid w:val="00B94804"/>
    <w:rsid w:val="00B97791"/>
    <w:rsid w:val="00BA0A33"/>
    <w:rsid w:val="00BA0AD2"/>
    <w:rsid w:val="00BA539E"/>
    <w:rsid w:val="00BA720F"/>
    <w:rsid w:val="00BB105C"/>
    <w:rsid w:val="00BB1CB8"/>
    <w:rsid w:val="00BB23B0"/>
    <w:rsid w:val="00BB5703"/>
    <w:rsid w:val="00BB5FDF"/>
    <w:rsid w:val="00BB6C78"/>
    <w:rsid w:val="00BB6E36"/>
    <w:rsid w:val="00BC03D4"/>
    <w:rsid w:val="00BC1357"/>
    <w:rsid w:val="00BC18FE"/>
    <w:rsid w:val="00BC2958"/>
    <w:rsid w:val="00BC338B"/>
    <w:rsid w:val="00BC5564"/>
    <w:rsid w:val="00BD19BA"/>
    <w:rsid w:val="00BD3040"/>
    <w:rsid w:val="00BD49D9"/>
    <w:rsid w:val="00BD607C"/>
    <w:rsid w:val="00BD65EB"/>
    <w:rsid w:val="00BD7480"/>
    <w:rsid w:val="00BE0A73"/>
    <w:rsid w:val="00BE0E08"/>
    <w:rsid w:val="00BE17CA"/>
    <w:rsid w:val="00BE1D41"/>
    <w:rsid w:val="00BE24DF"/>
    <w:rsid w:val="00BE3130"/>
    <w:rsid w:val="00BE3656"/>
    <w:rsid w:val="00BE424C"/>
    <w:rsid w:val="00BE467C"/>
    <w:rsid w:val="00BE7191"/>
    <w:rsid w:val="00BE7772"/>
    <w:rsid w:val="00BE7DEF"/>
    <w:rsid w:val="00BF3F05"/>
    <w:rsid w:val="00BF6C65"/>
    <w:rsid w:val="00C00C94"/>
    <w:rsid w:val="00C03120"/>
    <w:rsid w:val="00C03E98"/>
    <w:rsid w:val="00C0415B"/>
    <w:rsid w:val="00C04631"/>
    <w:rsid w:val="00C053EB"/>
    <w:rsid w:val="00C062CB"/>
    <w:rsid w:val="00C06967"/>
    <w:rsid w:val="00C0738C"/>
    <w:rsid w:val="00C07B6E"/>
    <w:rsid w:val="00C13133"/>
    <w:rsid w:val="00C1435B"/>
    <w:rsid w:val="00C14456"/>
    <w:rsid w:val="00C15F0D"/>
    <w:rsid w:val="00C1631B"/>
    <w:rsid w:val="00C16F84"/>
    <w:rsid w:val="00C23FD4"/>
    <w:rsid w:val="00C245B6"/>
    <w:rsid w:val="00C24CBB"/>
    <w:rsid w:val="00C2658F"/>
    <w:rsid w:val="00C301FD"/>
    <w:rsid w:val="00C32552"/>
    <w:rsid w:val="00C34616"/>
    <w:rsid w:val="00C34850"/>
    <w:rsid w:val="00C36064"/>
    <w:rsid w:val="00C37C8E"/>
    <w:rsid w:val="00C37FBE"/>
    <w:rsid w:val="00C42F5C"/>
    <w:rsid w:val="00C43B7B"/>
    <w:rsid w:val="00C445CC"/>
    <w:rsid w:val="00C446FC"/>
    <w:rsid w:val="00C44CFF"/>
    <w:rsid w:val="00C44E2B"/>
    <w:rsid w:val="00C4604D"/>
    <w:rsid w:val="00C47CB0"/>
    <w:rsid w:val="00C50383"/>
    <w:rsid w:val="00C51573"/>
    <w:rsid w:val="00C52B72"/>
    <w:rsid w:val="00C52C8E"/>
    <w:rsid w:val="00C52F12"/>
    <w:rsid w:val="00C5384F"/>
    <w:rsid w:val="00C53BD1"/>
    <w:rsid w:val="00C53C53"/>
    <w:rsid w:val="00C54D37"/>
    <w:rsid w:val="00C5677C"/>
    <w:rsid w:val="00C6192F"/>
    <w:rsid w:val="00C62012"/>
    <w:rsid w:val="00C625D9"/>
    <w:rsid w:val="00C62C35"/>
    <w:rsid w:val="00C646D8"/>
    <w:rsid w:val="00C6478E"/>
    <w:rsid w:val="00C67F25"/>
    <w:rsid w:val="00C70227"/>
    <w:rsid w:val="00C70A6E"/>
    <w:rsid w:val="00C7189A"/>
    <w:rsid w:val="00C72D1B"/>
    <w:rsid w:val="00C72E5C"/>
    <w:rsid w:val="00C73B9A"/>
    <w:rsid w:val="00C73D19"/>
    <w:rsid w:val="00C73FD7"/>
    <w:rsid w:val="00C7437D"/>
    <w:rsid w:val="00C76039"/>
    <w:rsid w:val="00C777A1"/>
    <w:rsid w:val="00C83368"/>
    <w:rsid w:val="00C8442E"/>
    <w:rsid w:val="00C85E0B"/>
    <w:rsid w:val="00C862A4"/>
    <w:rsid w:val="00C87F41"/>
    <w:rsid w:val="00C907DE"/>
    <w:rsid w:val="00C92041"/>
    <w:rsid w:val="00C924AF"/>
    <w:rsid w:val="00C93A51"/>
    <w:rsid w:val="00C93E4D"/>
    <w:rsid w:val="00C943A9"/>
    <w:rsid w:val="00C96FEE"/>
    <w:rsid w:val="00C976DE"/>
    <w:rsid w:val="00CA0630"/>
    <w:rsid w:val="00CA0CD2"/>
    <w:rsid w:val="00CA1C85"/>
    <w:rsid w:val="00CA1DF1"/>
    <w:rsid w:val="00CA442C"/>
    <w:rsid w:val="00CA48B9"/>
    <w:rsid w:val="00CA4C5B"/>
    <w:rsid w:val="00CA4EA2"/>
    <w:rsid w:val="00CA5716"/>
    <w:rsid w:val="00CA5E4B"/>
    <w:rsid w:val="00CA6A48"/>
    <w:rsid w:val="00CA6A55"/>
    <w:rsid w:val="00CA6AB5"/>
    <w:rsid w:val="00CB2678"/>
    <w:rsid w:val="00CB2810"/>
    <w:rsid w:val="00CB2819"/>
    <w:rsid w:val="00CB2C08"/>
    <w:rsid w:val="00CB476C"/>
    <w:rsid w:val="00CB4B57"/>
    <w:rsid w:val="00CB61ED"/>
    <w:rsid w:val="00CC1B59"/>
    <w:rsid w:val="00CC35A1"/>
    <w:rsid w:val="00CC5049"/>
    <w:rsid w:val="00CC55DD"/>
    <w:rsid w:val="00CC6663"/>
    <w:rsid w:val="00CD1A00"/>
    <w:rsid w:val="00CD3508"/>
    <w:rsid w:val="00CD40F0"/>
    <w:rsid w:val="00CD508E"/>
    <w:rsid w:val="00CD5E7B"/>
    <w:rsid w:val="00CD7E3A"/>
    <w:rsid w:val="00CE18FB"/>
    <w:rsid w:val="00CE45A0"/>
    <w:rsid w:val="00CE49EE"/>
    <w:rsid w:val="00CE5ABC"/>
    <w:rsid w:val="00CE6240"/>
    <w:rsid w:val="00CF09F8"/>
    <w:rsid w:val="00CF0C93"/>
    <w:rsid w:val="00CF26E6"/>
    <w:rsid w:val="00CF2DE9"/>
    <w:rsid w:val="00CF31FC"/>
    <w:rsid w:val="00CF3DD0"/>
    <w:rsid w:val="00CF72CE"/>
    <w:rsid w:val="00CF755C"/>
    <w:rsid w:val="00D01693"/>
    <w:rsid w:val="00D01A4B"/>
    <w:rsid w:val="00D02B63"/>
    <w:rsid w:val="00D04277"/>
    <w:rsid w:val="00D07492"/>
    <w:rsid w:val="00D11089"/>
    <w:rsid w:val="00D1136F"/>
    <w:rsid w:val="00D11376"/>
    <w:rsid w:val="00D123A0"/>
    <w:rsid w:val="00D12FE0"/>
    <w:rsid w:val="00D130EC"/>
    <w:rsid w:val="00D16B3D"/>
    <w:rsid w:val="00D1750E"/>
    <w:rsid w:val="00D2146C"/>
    <w:rsid w:val="00D2180E"/>
    <w:rsid w:val="00D24125"/>
    <w:rsid w:val="00D2492B"/>
    <w:rsid w:val="00D25E0C"/>
    <w:rsid w:val="00D26264"/>
    <w:rsid w:val="00D26FD5"/>
    <w:rsid w:val="00D27AD1"/>
    <w:rsid w:val="00D32564"/>
    <w:rsid w:val="00D32634"/>
    <w:rsid w:val="00D33048"/>
    <w:rsid w:val="00D3343C"/>
    <w:rsid w:val="00D34B9C"/>
    <w:rsid w:val="00D35764"/>
    <w:rsid w:val="00D35B15"/>
    <w:rsid w:val="00D3671D"/>
    <w:rsid w:val="00D36AD6"/>
    <w:rsid w:val="00D37845"/>
    <w:rsid w:val="00D40E76"/>
    <w:rsid w:val="00D40F80"/>
    <w:rsid w:val="00D40FDC"/>
    <w:rsid w:val="00D4298F"/>
    <w:rsid w:val="00D43A6F"/>
    <w:rsid w:val="00D45042"/>
    <w:rsid w:val="00D45C0A"/>
    <w:rsid w:val="00D47FF1"/>
    <w:rsid w:val="00D505B7"/>
    <w:rsid w:val="00D51303"/>
    <w:rsid w:val="00D517DA"/>
    <w:rsid w:val="00D51FC6"/>
    <w:rsid w:val="00D5325B"/>
    <w:rsid w:val="00D53701"/>
    <w:rsid w:val="00D53AC8"/>
    <w:rsid w:val="00D54270"/>
    <w:rsid w:val="00D547C0"/>
    <w:rsid w:val="00D54DBE"/>
    <w:rsid w:val="00D57255"/>
    <w:rsid w:val="00D5750E"/>
    <w:rsid w:val="00D605AD"/>
    <w:rsid w:val="00D60DC9"/>
    <w:rsid w:val="00D615F2"/>
    <w:rsid w:val="00D6193E"/>
    <w:rsid w:val="00D63221"/>
    <w:rsid w:val="00D65DCD"/>
    <w:rsid w:val="00D66191"/>
    <w:rsid w:val="00D66200"/>
    <w:rsid w:val="00D66A46"/>
    <w:rsid w:val="00D66F87"/>
    <w:rsid w:val="00D70223"/>
    <w:rsid w:val="00D71E90"/>
    <w:rsid w:val="00D729EF"/>
    <w:rsid w:val="00D73C44"/>
    <w:rsid w:val="00D75340"/>
    <w:rsid w:val="00D76E85"/>
    <w:rsid w:val="00D7703C"/>
    <w:rsid w:val="00D773F7"/>
    <w:rsid w:val="00D81279"/>
    <w:rsid w:val="00D81670"/>
    <w:rsid w:val="00D832A6"/>
    <w:rsid w:val="00D856D2"/>
    <w:rsid w:val="00D86EC5"/>
    <w:rsid w:val="00D873FF"/>
    <w:rsid w:val="00D87C14"/>
    <w:rsid w:val="00D902D3"/>
    <w:rsid w:val="00D9092C"/>
    <w:rsid w:val="00D90C86"/>
    <w:rsid w:val="00D92174"/>
    <w:rsid w:val="00D922EB"/>
    <w:rsid w:val="00D92E32"/>
    <w:rsid w:val="00D93B7C"/>
    <w:rsid w:val="00D94B03"/>
    <w:rsid w:val="00D96756"/>
    <w:rsid w:val="00D967A4"/>
    <w:rsid w:val="00D96A94"/>
    <w:rsid w:val="00D97076"/>
    <w:rsid w:val="00D97575"/>
    <w:rsid w:val="00D97CF1"/>
    <w:rsid w:val="00D97E24"/>
    <w:rsid w:val="00DA27B0"/>
    <w:rsid w:val="00DA286F"/>
    <w:rsid w:val="00DA2BA0"/>
    <w:rsid w:val="00DA3737"/>
    <w:rsid w:val="00DA40E5"/>
    <w:rsid w:val="00DA5669"/>
    <w:rsid w:val="00DA64B8"/>
    <w:rsid w:val="00DB0452"/>
    <w:rsid w:val="00DB0616"/>
    <w:rsid w:val="00DB6EB6"/>
    <w:rsid w:val="00DC2326"/>
    <w:rsid w:val="00DC2391"/>
    <w:rsid w:val="00DC3991"/>
    <w:rsid w:val="00DC5083"/>
    <w:rsid w:val="00DC50AB"/>
    <w:rsid w:val="00DC6AC4"/>
    <w:rsid w:val="00DD06DB"/>
    <w:rsid w:val="00DD0E86"/>
    <w:rsid w:val="00DD11B4"/>
    <w:rsid w:val="00DD147E"/>
    <w:rsid w:val="00DD3E37"/>
    <w:rsid w:val="00DD3E64"/>
    <w:rsid w:val="00DD410F"/>
    <w:rsid w:val="00DD551B"/>
    <w:rsid w:val="00DD57D3"/>
    <w:rsid w:val="00DD69C7"/>
    <w:rsid w:val="00DE0136"/>
    <w:rsid w:val="00DE09DD"/>
    <w:rsid w:val="00DE0D67"/>
    <w:rsid w:val="00DE104B"/>
    <w:rsid w:val="00DE3B81"/>
    <w:rsid w:val="00DE40AF"/>
    <w:rsid w:val="00DE4145"/>
    <w:rsid w:val="00DE5434"/>
    <w:rsid w:val="00DE570B"/>
    <w:rsid w:val="00DE6CE0"/>
    <w:rsid w:val="00DE7104"/>
    <w:rsid w:val="00DF1941"/>
    <w:rsid w:val="00DF1BCD"/>
    <w:rsid w:val="00DF1EC1"/>
    <w:rsid w:val="00DF4E37"/>
    <w:rsid w:val="00DF54EF"/>
    <w:rsid w:val="00DF6316"/>
    <w:rsid w:val="00DF6C33"/>
    <w:rsid w:val="00DF6D70"/>
    <w:rsid w:val="00DF77D7"/>
    <w:rsid w:val="00DF7F79"/>
    <w:rsid w:val="00E01C6F"/>
    <w:rsid w:val="00E02169"/>
    <w:rsid w:val="00E02D14"/>
    <w:rsid w:val="00E043E5"/>
    <w:rsid w:val="00E05570"/>
    <w:rsid w:val="00E06137"/>
    <w:rsid w:val="00E0721A"/>
    <w:rsid w:val="00E11030"/>
    <w:rsid w:val="00E14889"/>
    <w:rsid w:val="00E15FE9"/>
    <w:rsid w:val="00E20DCC"/>
    <w:rsid w:val="00E2101A"/>
    <w:rsid w:val="00E2218B"/>
    <w:rsid w:val="00E231C5"/>
    <w:rsid w:val="00E23A1C"/>
    <w:rsid w:val="00E23FC5"/>
    <w:rsid w:val="00E25AB4"/>
    <w:rsid w:val="00E274F0"/>
    <w:rsid w:val="00E27967"/>
    <w:rsid w:val="00E30478"/>
    <w:rsid w:val="00E30E43"/>
    <w:rsid w:val="00E31296"/>
    <w:rsid w:val="00E322D3"/>
    <w:rsid w:val="00E32501"/>
    <w:rsid w:val="00E332A5"/>
    <w:rsid w:val="00E348CB"/>
    <w:rsid w:val="00E34C3F"/>
    <w:rsid w:val="00E36858"/>
    <w:rsid w:val="00E36974"/>
    <w:rsid w:val="00E413FC"/>
    <w:rsid w:val="00E41B52"/>
    <w:rsid w:val="00E42259"/>
    <w:rsid w:val="00E42648"/>
    <w:rsid w:val="00E448B4"/>
    <w:rsid w:val="00E45325"/>
    <w:rsid w:val="00E45CF4"/>
    <w:rsid w:val="00E46DA7"/>
    <w:rsid w:val="00E46E07"/>
    <w:rsid w:val="00E46E1A"/>
    <w:rsid w:val="00E46E41"/>
    <w:rsid w:val="00E47FC3"/>
    <w:rsid w:val="00E50085"/>
    <w:rsid w:val="00E50285"/>
    <w:rsid w:val="00E50DE4"/>
    <w:rsid w:val="00E515CC"/>
    <w:rsid w:val="00E51F15"/>
    <w:rsid w:val="00E521A1"/>
    <w:rsid w:val="00E52866"/>
    <w:rsid w:val="00E52F6F"/>
    <w:rsid w:val="00E54026"/>
    <w:rsid w:val="00E545ED"/>
    <w:rsid w:val="00E555FB"/>
    <w:rsid w:val="00E56FCE"/>
    <w:rsid w:val="00E6084F"/>
    <w:rsid w:val="00E61E02"/>
    <w:rsid w:val="00E62002"/>
    <w:rsid w:val="00E62248"/>
    <w:rsid w:val="00E6354D"/>
    <w:rsid w:val="00E667C0"/>
    <w:rsid w:val="00E6712A"/>
    <w:rsid w:val="00E67DB7"/>
    <w:rsid w:val="00E71996"/>
    <w:rsid w:val="00E72214"/>
    <w:rsid w:val="00E72EA7"/>
    <w:rsid w:val="00E76488"/>
    <w:rsid w:val="00E8122C"/>
    <w:rsid w:val="00E81462"/>
    <w:rsid w:val="00E814E9"/>
    <w:rsid w:val="00E81DA1"/>
    <w:rsid w:val="00E82CFA"/>
    <w:rsid w:val="00E8346D"/>
    <w:rsid w:val="00E844D4"/>
    <w:rsid w:val="00E851C6"/>
    <w:rsid w:val="00E87518"/>
    <w:rsid w:val="00E905B0"/>
    <w:rsid w:val="00E90F1F"/>
    <w:rsid w:val="00E90F3E"/>
    <w:rsid w:val="00E91455"/>
    <w:rsid w:val="00E92184"/>
    <w:rsid w:val="00E93019"/>
    <w:rsid w:val="00E943CE"/>
    <w:rsid w:val="00E94C61"/>
    <w:rsid w:val="00E94F2E"/>
    <w:rsid w:val="00E97080"/>
    <w:rsid w:val="00E97BD2"/>
    <w:rsid w:val="00EA0202"/>
    <w:rsid w:val="00EA2A92"/>
    <w:rsid w:val="00EA2C84"/>
    <w:rsid w:val="00EA345A"/>
    <w:rsid w:val="00EA382B"/>
    <w:rsid w:val="00EA48A9"/>
    <w:rsid w:val="00EA4D44"/>
    <w:rsid w:val="00EA54FD"/>
    <w:rsid w:val="00EA6C75"/>
    <w:rsid w:val="00EA7351"/>
    <w:rsid w:val="00EB0095"/>
    <w:rsid w:val="00EB05C2"/>
    <w:rsid w:val="00EB0D0E"/>
    <w:rsid w:val="00EB1E89"/>
    <w:rsid w:val="00EB27E4"/>
    <w:rsid w:val="00EB3C73"/>
    <w:rsid w:val="00EB3DAB"/>
    <w:rsid w:val="00EB4238"/>
    <w:rsid w:val="00EB43CF"/>
    <w:rsid w:val="00EB4670"/>
    <w:rsid w:val="00EB5B95"/>
    <w:rsid w:val="00EB7562"/>
    <w:rsid w:val="00EC08B0"/>
    <w:rsid w:val="00EC0ACB"/>
    <w:rsid w:val="00EC0D85"/>
    <w:rsid w:val="00EC1A3D"/>
    <w:rsid w:val="00EC1DE4"/>
    <w:rsid w:val="00EC3C82"/>
    <w:rsid w:val="00EC3F53"/>
    <w:rsid w:val="00EC41DE"/>
    <w:rsid w:val="00EC4270"/>
    <w:rsid w:val="00EC472C"/>
    <w:rsid w:val="00EC4832"/>
    <w:rsid w:val="00EC7096"/>
    <w:rsid w:val="00ED0F7D"/>
    <w:rsid w:val="00ED2B7A"/>
    <w:rsid w:val="00ED3589"/>
    <w:rsid w:val="00ED3F15"/>
    <w:rsid w:val="00ED44EA"/>
    <w:rsid w:val="00ED62B8"/>
    <w:rsid w:val="00ED73AD"/>
    <w:rsid w:val="00ED7754"/>
    <w:rsid w:val="00EE0413"/>
    <w:rsid w:val="00EE05AE"/>
    <w:rsid w:val="00EE0A54"/>
    <w:rsid w:val="00EE1E09"/>
    <w:rsid w:val="00EE21FC"/>
    <w:rsid w:val="00EE3A76"/>
    <w:rsid w:val="00EE53D2"/>
    <w:rsid w:val="00EE5B93"/>
    <w:rsid w:val="00EE5CD1"/>
    <w:rsid w:val="00EE62A0"/>
    <w:rsid w:val="00EE6F84"/>
    <w:rsid w:val="00EE7698"/>
    <w:rsid w:val="00EE7BFD"/>
    <w:rsid w:val="00EF03A8"/>
    <w:rsid w:val="00EF06BB"/>
    <w:rsid w:val="00EF1885"/>
    <w:rsid w:val="00EF310B"/>
    <w:rsid w:val="00EF37AF"/>
    <w:rsid w:val="00EF49D3"/>
    <w:rsid w:val="00EF690A"/>
    <w:rsid w:val="00EF7014"/>
    <w:rsid w:val="00F01DE5"/>
    <w:rsid w:val="00F02562"/>
    <w:rsid w:val="00F02787"/>
    <w:rsid w:val="00F02F69"/>
    <w:rsid w:val="00F03506"/>
    <w:rsid w:val="00F03601"/>
    <w:rsid w:val="00F03750"/>
    <w:rsid w:val="00F06206"/>
    <w:rsid w:val="00F1021F"/>
    <w:rsid w:val="00F1157A"/>
    <w:rsid w:val="00F119E7"/>
    <w:rsid w:val="00F12189"/>
    <w:rsid w:val="00F14A82"/>
    <w:rsid w:val="00F17797"/>
    <w:rsid w:val="00F17A75"/>
    <w:rsid w:val="00F21379"/>
    <w:rsid w:val="00F221A4"/>
    <w:rsid w:val="00F222E8"/>
    <w:rsid w:val="00F22A01"/>
    <w:rsid w:val="00F24AB9"/>
    <w:rsid w:val="00F25345"/>
    <w:rsid w:val="00F267CC"/>
    <w:rsid w:val="00F26BBC"/>
    <w:rsid w:val="00F26F71"/>
    <w:rsid w:val="00F27943"/>
    <w:rsid w:val="00F30300"/>
    <w:rsid w:val="00F30664"/>
    <w:rsid w:val="00F30F3C"/>
    <w:rsid w:val="00F32EB2"/>
    <w:rsid w:val="00F33B49"/>
    <w:rsid w:val="00F35D3F"/>
    <w:rsid w:val="00F365CE"/>
    <w:rsid w:val="00F37277"/>
    <w:rsid w:val="00F37A01"/>
    <w:rsid w:val="00F400BF"/>
    <w:rsid w:val="00F41658"/>
    <w:rsid w:val="00F41CC6"/>
    <w:rsid w:val="00F42078"/>
    <w:rsid w:val="00F44122"/>
    <w:rsid w:val="00F44784"/>
    <w:rsid w:val="00F45627"/>
    <w:rsid w:val="00F460F2"/>
    <w:rsid w:val="00F47028"/>
    <w:rsid w:val="00F471F0"/>
    <w:rsid w:val="00F47907"/>
    <w:rsid w:val="00F47F83"/>
    <w:rsid w:val="00F5219E"/>
    <w:rsid w:val="00F52D15"/>
    <w:rsid w:val="00F55D43"/>
    <w:rsid w:val="00F566CA"/>
    <w:rsid w:val="00F56CEF"/>
    <w:rsid w:val="00F577B6"/>
    <w:rsid w:val="00F60311"/>
    <w:rsid w:val="00F61433"/>
    <w:rsid w:val="00F6162B"/>
    <w:rsid w:val="00F62164"/>
    <w:rsid w:val="00F629FF"/>
    <w:rsid w:val="00F63E08"/>
    <w:rsid w:val="00F64248"/>
    <w:rsid w:val="00F6475E"/>
    <w:rsid w:val="00F665DF"/>
    <w:rsid w:val="00F669B2"/>
    <w:rsid w:val="00F673B0"/>
    <w:rsid w:val="00F674E9"/>
    <w:rsid w:val="00F70859"/>
    <w:rsid w:val="00F71D40"/>
    <w:rsid w:val="00F7559A"/>
    <w:rsid w:val="00F75862"/>
    <w:rsid w:val="00F759A4"/>
    <w:rsid w:val="00F75BF2"/>
    <w:rsid w:val="00F75CC9"/>
    <w:rsid w:val="00F77681"/>
    <w:rsid w:val="00F77A1B"/>
    <w:rsid w:val="00F80FDC"/>
    <w:rsid w:val="00F815E3"/>
    <w:rsid w:val="00F81D3D"/>
    <w:rsid w:val="00F82EAE"/>
    <w:rsid w:val="00F839CB"/>
    <w:rsid w:val="00F84353"/>
    <w:rsid w:val="00F84CEC"/>
    <w:rsid w:val="00F8547A"/>
    <w:rsid w:val="00F8654A"/>
    <w:rsid w:val="00F867B3"/>
    <w:rsid w:val="00F86FB0"/>
    <w:rsid w:val="00F86FBE"/>
    <w:rsid w:val="00F872CC"/>
    <w:rsid w:val="00F87795"/>
    <w:rsid w:val="00F9112D"/>
    <w:rsid w:val="00F9390B"/>
    <w:rsid w:val="00F9445B"/>
    <w:rsid w:val="00F95A6F"/>
    <w:rsid w:val="00F95DF3"/>
    <w:rsid w:val="00F96DB7"/>
    <w:rsid w:val="00F972F6"/>
    <w:rsid w:val="00FA0B8A"/>
    <w:rsid w:val="00FA1306"/>
    <w:rsid w:val="00FA18F7"/>
    <w:rsid w:val="00FA2029"/>
    <w:rsid w:val="00FA2A11"/>
    <w:rsid w:val="00FA45AF"/>
    <w:rsid w:val="00FA541E"/>
    <w:rsid w:val="00FA548A"/>
    <w:rsid w:val="00FA54E7"/>
    <w:rsid w:val="00FA6448"/>
    <w:rsid w:val="00FA65D8"/>
    <w:rsid w:val="00FA7CCB"/>
    <w:rsid w:val="00FA7E18"/>
    <w:rsid w:val="00FB136A"/>
    <w:rsid w:val="00FB1962"/>
    <w:rsid w:val="00FB36F3"/>
    <w:rsid w:val="00FB5CCC"/>
    <w:rsid w:val="00FB5EF1"/>
    <w:rsid w:val="00FC153F"/>
    <w:rsid w:val="00FC1ACB"/>
    <w:rsid w:val="00FC3497"/>
    <w:rsid w:val="00FC34E2"/>
    <w:rsid w:val="00FC3D06"/>
    <w:rsid w:val="00FC5A24"/>
    <w:rsid w:val="00FC63FC"/>
    <w:rsid w:val="00FC668D"/>
    <w:rsid w:val="00FD07E6"/>
    <w:rsid w:val="00FD11E7"/>
    <w:rsid w:val="00FD2402"/>
    <w:rsid w:val="00FD3343"/>
    <w:rsid w:val="00FD3AA1"/>
    <w:rsid w:val="00FD3FCA"/>
    <w:rsid w:val="00FD510B"/>
    <w:rsid w:val="00FD65AC"/>
    <w:rsid w:val="00FD7A55"/>
    <w:rsid w:val="00FE032E"/>
    <w:rsid w:val="00FE097F"/>
    <w:rsid w:val="00FE0AE6"/>
    <w:rsid w:val="00FE1D67"/>
    <w:rsid w:val="00FE23C3"/>
    <w:rsid w:val="00FE4D2E"/>
    <w:rsid w:val="00FE7403"/>
    <w:rsid w:val="00FF0C3C"/>
    <w:rsid w:val="00FF0E4A"/>
    <w:rsid w:val="00FF0FC6"/>
    <w:rsid w:val="00FF13C6"/>
    <w:rsid w:val="00FF48C9"/>
    <w:rsid w:val="00FF74BC"/>
    <w:rsid w:val="010637FF"/>
    <w:rsid w:val="01203DE8"/>
    <w:rsid w:val="0151C2DB"/>
    <w:rsid w:val="0196F92C"/>
    <w:rsid w:val="01CB137B"/>
    <w:rsid w:val="021CC14E"/>
    <w:rsid w:val="02856926"/>
    <w:rsid w:val="03AEE649"/>
    <w:rsid w:val="03E734ED"/>
    <w:rsid w:val="04169E94"/>
    <w:rsid w:val="041DC1D1"/>
    <w:rsid w:val="0468AA7D"/>
    <w:rsid w:val="04745BEB"/>
    <w:rsid w:val="054AB6AA"/>
    <w:rsid w:val="05A445F2"/>
    <w:rsid w:val="05FB9C91"/>
    <w:rsid w:val="060CD768"/>
    <w:rsid w:val="07236622"/>
    <w:rsid w:val="07352464"/>
    <w:rsid w:val="07C43512"/>
    <w:rsid w:val="07D5309E"/>
    <w:rsid w:val="083030EF"/>
    <w:rsid w:val="085D88C4"/>
    <w:rsid w:val="092C6597"/>
    <w:rsid w:val="092CB631"/>
    <w:rsid w:val="0944782A"/>
    <w:rsid w:val="0995C969"/>
    <w:rsid w:val="09E4F5E7"/>
    <w:rsid w:val="0A1A87C4"/>
    <w:rsid w:val="0AA8AE36"/>
    <w:rsid w:val="0AD3A949"/>
    <w:rsid w:val="0B08166B"/>
    <w:rsid w:val="0BEECDEB"/>
    <w:rsid w:val="0BF12ABF"/>
    <w:rsid w:val="0C761A59"/>
    <w:rsid w:val="0C7C18EC"/>
    <w:rsid w:val="0C9C29E8"/>
    <w:rsid w:val="0D58A3F3"/>
    <w:rsid w:val="0D6A446C"/>
    <w:rsid w:val="0D7D1D72"/>
    <w:rsid w:val="0E06AE76"/>
    <w:rsid w:val="0E0C46C7"/>
    <w:rsid w:val="0E9FD625"/>
    <w:rsid w:val="0EC0A5B1"/>
    <w:rsid w:val="103F73D0"/>
    <w:rsid w:val="10A37CE4"/>
    <w:rsid w:val="10C30893"/>
    <w:rsid w:val="110F5DCA"/>
    <w:rsid w:val="11239FC7"/>
    <w:rsid w:val="1137ED7C"/>
    <w:rsid w:val="113E4F38"/>
    <w:rsid w:val="11611AFF"/>
    <w:rsid w:val="117A435C"/>
    <w:rsid w:val="11AB5B0D"/>
    <w:rsid w:val="11ADDDFC"/>
    <w:rsid w:val="11D558E7"/>
    <w:rsid w:val="1209286D"/>
    <w:rsid w:val="121806EA"/>
    <w:rsid w:val="121C092F"/>
    <w:rsid w:val="12DA1F99"/>
    <w:rsid w:val="1302D8FE"/>
    <w:rsid w:val="131B4A90"/>
    <w:rsid w:val="134CE4DD"/>
    <w:rsid w:val="135DDE08"/>
    <w:rsid w:val="13CEE34E"/>
    <w:rsid w:val="143E4C91"/>
    <w:rsid w:val="1450A465"/>
    <w:rsid w:val="147DDADA"/>
    <w:rsid w:val="1498BBC1"/>
    <w:rsid w:val="14E2AC2F"/>
    <w:rsid w:val="14E31B6E"/>
    <w:rsid w:val="150EBACF"/>
    <w:rsid w:val="15494191"/>
    <w:rsid w:val="15607496"/>
    <w:rsid w:val="167E8200"/>
    <w:rsid w:val="16DE2186"/>
    <w:rsid w:val="173CE6FF"/>
    <w:rsid w:val="17AD90BC"/>
    <w:rsid w:val="17C1DCFF"/>
    <w:rsid w:val="17CE9DD7"/>
    <w:rsid w:val="17D05C83"/>
    <w:rsid w:val="17D36334"/>
    <w:rsid w:val="17D6D538"/>
    <w:rsid w:val="17ED8096"/>
    <w:rsid w:val="1881F937"/>
    <w:rsid w:val="18B8128C"/>
    <w:rsid w:val="192A3CA6"/>
    <w:rsid w:val="19A8714F"/>
    <w:rsid w:val="1A7ED1BB"/>
    <w:rsid w:val="1A8971D8"/>
    <w:rsid w:val="1AB7B5DA"/>
    <w:rsid w:val="1ACBD9F0"/>
    <w:rsid w:val="1B2B4E6B"/>
    <w:rsid w:val="1B7DC87A"/>
    <w:rsid w:val="1B9D9677"/>
    <w:rsid w:val="1CE3A96D"/>
    <w:rsid w:val="1D22EB79"/>
    <w:rsid w:val="1DCB46C0"/>
    <w:rsid w:val="1E1CD240"/>
    <w:rsid w:val="1E3F9E07"/>
    <w:rsid w:val="1F043DE5"/>
    <w:rsid w:val="1F47F8E4"/>
    <w:rsid w:val="1F5AE3F8"/>
    <w:rsid w:val="1F69D5F1"/>
    <w:rsid w:val="1FBCA415"/>
    <w:rsid w:val="2018B67B"/>
    <w:rsid w:val="2049AAF4"/>
    <w:rsid w:val="2095924F"/>
    <w:rsid w:val="20DE37C1"/>
    <w:rsid w:val="2150AC6B"/>
    <w:rsid w:val="2225E93C"/>
    <w:rsid w:val="2228AD68"/>
    <w:rsid w:val="222F0D98"/>
    <w:rsid w:val="22A98AAF"/>
    <w:rsid w:val="2365879C"/>
    <w:rsid w:val="2367BFAD"/>
    <w:rsid w:val="243EE04D"/>
    <w:rsid w:val="24991C14"/>
    <w:rsid w:val="24C0E4C5"/>
    <w:rsid w:val="2503900E"/>
    <w:rsid w:val="252CDAE5"/>
    <w:rsid w:val="253C05F0"/>
    <w:rsid w:val="2566AE5A"/>
    <w:rsid w:val="25EB7244"/>
    <w:rsid w:val="25F1A118"/>
    <w:rsid w:val="273D9B1A"/>
    <w:rsid w:val="27ABA1F3"/>
    <w:rsid w:val="283B30D0"/>
    <w:rsid w:val="283B9721"/>
    <w:rsid w:val="28D96B7B"/>
    <w:rsid w:val="28DD1720"/>
    <w:rsid w:val="2931CAF4"/>
    <w:rsid w:val="293D4E49"/>
    <w:rsid w:val="29404F17"/>
    <w:rsid w:val="29AEAF34"/>
    <w:rsid w:val="2A494D98"/>
    <w:rsid w:val="2A7A0F57"/>
    <w:rsid w:val="2AD0D1B9"/>
    <w:rsid w:val="2AFB5548"/>
    <w:rsid w:val="2B25F4EA"/>
    <w:rsid w:val="2B3A619E"/>
    <w:rsid w:val="2B3BCEEB"/>
    <w:rsid w:val="2B83200B"/>
    <w:rsid w:val="2BBE75D9"/>
    <w:rsid w:val="2BFE8F2C"/>
    <w:rsid w:val="2CC1C54B"/>
    <w:rsid w:val="2D22EA48"/>
    <w:rsid w:val="2D23A7C0"/>
    <w:rsid w:val="2D67E6E9"/>
    <w:rsid w:val="2DB11706"/>
    <w:rsid w:val="2E1AE377"/>
    <w:rsid w:val="2E537BE3"/>
    <w:rsid w:val="2E5D95AC"/>
    <w:rsid w:val="2E7C148A"/>
    <w:rsid w:val="2F305C67"/>
    <w:rsid w:val="2F404AC9"/>
    <w:rsid w:val="2F74DB0E"/>
    <w:rsid w:val="2F924BB2"/>
    <w:rsid w:val="2FA46337"/>
    <w:rsid w:val="2FC35464"/>
    <w:rsid w:val="2FF37761"/>
    <w:rsid w:val="3075A6FC"/>
    <w:rsid w:val="315C4393"/>
    <w:rsid w:val="31964C38"/>
    <w:rsid w:val="329ACDFF"/>
    <w:rsid w:val="338A776A"/>
    <w:rsid w:val="33D97E82"/>
    <w:rsid w:val="342955A3"/>
    <w:rsid w:val="345F63E1"/>
    <w:rsid w:val="34D87475"/>
    <w:rsid w:val="34FD5BD3"/>
    <w:rsid w:val="350C2867"/>
    <w:rsid w:val="35298CEE"/>
    <w:rsid w:val="353B6421"/>
    <w:rsid w:val="35515C77"/>
    <w:rsid w:val="3571B9AF"/>
    <w:rsid w:val="3669D405"/>
    <w:rsid w:val="38341F4C"/>
    <w:rsid w:val="3880913C"/>
    <w:rsid w:val="38A85A46"/>
    <w:rsid w:val="38EFA6EB"/>
    <w:rsid w:val="398D5423"/>
    <w:rsid w:val="3A11D39F"/>
    <w:rsid w:val="3A30378D"/>
    <w:rsid w:val="3A40C610"/>
    <w:rsid w:val="3A504347"/>
    <w:rsid w:val="3A752E7C"/>
    <w:rsid w:val="3B1990A1"/>
    <w:rsid w:val="3BC8827B"/>
    <w:rsid w:val="3C7EEE8B"/>
    <w:rsid w:val="3CBE0479"/>
    <w:rsid w:val="3D2569A5"/>
    <w:rsid w:val="3D2C5A11"/>
    <w:rsid w:val="3D40057A"/>
    <w:rsid w:val="3DBACEFE"/>
    <w:rsid w:val="3DD6B7F4"/>
    <w:rsid w:val="3E5BA6E3"/>
    <w:rsid w:val="3E8FF8F3"/>
    <w:rsid w:val="3F9E2CDE"/>
    <w:rsid w:val="3FCAFD2D"/>
    <w:rsid w:val="3FFF8AFF"/>
    <w:rsid w:val="407266B3"/>
    <w:rsid w:val="40AE49F4"/>
    <w:rsid w:val="4163671F"/>
    <w:rsid w:val="4173E38D"/>
    <w:rsid w:val="41D153FD"/>
    <w:rsid w:val="41F2A73A"/>
    <w:rsid w:val="432E1BE7"/>
    <w:rsid w:val="43353E53"/>
    <w:rsid w:val="439BC0FB"/>
    <w:rsid w:val="43A69C5E"/>
    <w:rsid w:val="4422EC52"/>
    <w:rsid w:val="4445F978"/>
    <w:rsid w:val="446BBC55"/>
    <w:rsid w:val="464BC2E0"/>
    <w:rsid w:val="46908F1C"/>
    <w:rsid w:val="469ABA52"/>
    <w:rsid w:val="46EBE16F"/>
    <w:rsid w:val="46FF60C0"/>
    <w:rsid w:val="47C2A755"/>
    <w:rsid w:val="47E7CE72"/>
    <w:rsid w:val="482D952E"/>
    <w:rsid w:val="4852185F"/>
    <w:rsid w:val="48A64835"/>
    <w:rsid w:val="48B2EA99"/>
    <w:rsid w:val="48CA96B0"/>
    <w:rsid w:val="48E1CBB1"/>
    <w:rsid w:val="4A4E547E"/>
    <w:rsid w:val="4AABDFD3"/>
    <w:rsid w:val="4B5BB5CE"/>
    <w:rsid w:val="4C023772"/>
    <w:rsid w:val="4C153C9E"/>
    <w:rsid w:val="4C7F40C3"/>
    <w:rsid w:val="4CCB8839"/>
    <w:rsid w:val="4D31BF57"/>
    <w:rsid w:val="4D5439AC"/>
    <w:rsid w:val="4E17EE6D"/>
    <w:rsid w:val="4E7D0513"/>
    <w:rsid w:val="4EA7E812"/>
    <w:rsid w:val="4EC18815"/>
    <w:rsid w:val="4ED94DBB"/>
    <w:rsid w:val="4F0C433A"/>
    <w:rsid w:val="4F1AF8DB"/>
    <w:rsid w:val="4F2EF686"/>
    <w:rsid w:val="4F3865B5"/>
    <w:rsid w:val="4F649181"/>
    <w:rsid w:val="4F9748FB"/>
    <w:rsid w:val="4FB6C454"/>
    <w:rsid w:val="4FDE793E"/>
    <w:rsid w:val="506F6B8C"/>
    <w:rsid w:val="50806851"/>
    <w:rsid w:val="50C98B6B"/>
    <w:rsid w:val="50E835A4"/>
    <w:rsid w:val="50E8D06D"/>
    <w:rsid w:val="51197094"/>
    <w:rsid w:val="513883D5"/>
    <w:rsid w:val="5148A428"/>
    <w:rsid w:val="51A2B073"/>
    <w:rsid w:val="52996406"/>
    <w:rsid w:val="52AF4B37"/>
    <w:rsid w:val="52DB480E"/>
    <w:rsid w:val="535293D3"/>
    <w:rsid w:val="53B5F5B0"/>
    <w:rsid w:val="53FDFEF1"/>
    <w:rsid w:val="541EDA47"/>
    <w:rsid w:val="546CCC1D"/>
    <w:rsid w:val="54827555"/>
    <w:rsid w:val="54E7E3ED"/>
    <w:rsid w:val="552479F7"/>
    <w:rsid w:val="5575CA4A"/>
    <w:rsid w:val="55CD8B6A"/>
    <w:rsid w:val="55D7DAE8"/>
    <w:rsid w:val="55F949F8"/>
    <w:rsid w:val="56F1331A"/>
    <w:rsid w:val="57218460"/>
    <w:rsid w:val="5755C75F"/>
    <w:rsid w:val="57BC4F72"/>
    <w:rsid w:val="587E6451"/>
    <w:rsid w:val="58F62D6E"/>
    <w:rsid w:val="5A0A3406"/>
    <w:rsid w:val="5A0F1A3E"/>
    <w:rsid w:val="5A730F5C"/>
    <w:rsid w:val="5AA0FC8D"/>
    <w:rsid w:val="5B36CB1F"/>
    <w:rsid w:val="5B9F02D1"/>
    <w:rsid w:val="5BDB08F0"/>
    <w:rsid w:val="5BEF0DD2"/>
    <w:rsid w:val="5C5C2F44"/>
    <w:rsid w:val="5C83C381"/>
    <w:rsid w:val="5CA2D9B1"/>
    <w:rsid w:val="5CB1AEFB"/>
    <w:rsid w:val="5CF6815B"/>
    <w:rsid w:val="5D824D94"/>
    <w:rsid w:val="5DA5F8E4"/>
    <w:rsid w:val="5DA73F17"/>
    <w:rsid w:val="5DD2847F"/>
    <w:rsid w:val="5DDE24D5"/>
    <w:rsid w:val="5DF83505"/>
    <w:rsid w:val="5E7E43E9"/>
    <w:rsid w:val="5EB8A7BB"/>
    <w:rsid w:val="5EBA6659"/>
    <w:rsid w:val="5F145448"/>
    <w:rsid w:val="5F89E278"/>
    <w:rsid w:val="5F99BA9F"/>
    <w:rsid w:val="6058AA97"/>
    <w:rsid w:val="60592188"/>
    <w:rsid w:val="60FB2E6B"/>
    <w:rsid w:val="61054AD5"/>
    <w:rsid w:val="61B52C1E"/>
    <w:rsid w:val="61BC50CB"/>
    <w:rsid w:val="61BDE4D0"/>
    <w:rsid w:val="61E72F58"/>
    <w:rsid w:val="630A62BE"/>
    <w:rsid w:val="631EFC96"/>
    <w:rsid w:val="63D9EAAB"/>
    <w:rsid w:val="63E69BFE"/>
    <w:rsid w:val="6401A243"/>
    <w:rsid w:val="645AB34F"/>
    <w:rsid w:val="648E39AF"/>
    <w:rsid w:val="64CC1BB9"/>
    <w:rsid w:val="64D1B981"/>
    <w:rsid w:val="64E1DA7D"/>
    <w:rsid w:val="652CBCBA"/>
    <w:rsid w:val="65613915"/>
    <w:rsid w:val="656CBBD4"/>
    <w:rsid w:val="658797D8"/>
    <w:rsid w:val="667AE672"/>
    <w:rsid w:val="66889D41"/>
    <w:rsid w:val="66A1C59E"/>
    <w:rsid w:val="67E46099"/>
    <w:rsid w:val="68645D7C"/>
    <w:rsid w:val="68CD90DA"/>
    <w:rsid w:val="690FB686"/>
    <w:rsid w:val="69162B05"/>
    <w:rsid w:val="694C720E"/>
    <w:rsid w:val="6A068DEB"/>
    <w:rsid w:val="6A234588"/>
    <w:rsid w:val="6A7619E4"/>
    <w:rsid w:val="6AB9944A"/>
    <w:rsid w:val="6B2C042A"/>
    <w:rsid w:val="6B5646BC"/>
    <w:rsid w:val="6B6167C9"/>
    <w:rsid w:val="6BF0600F"/>
    <w:rsid w:val="6C873508"/>
    <w:rsid w:val="6CC0F7ED"/>
    <w:rsid w:val="6CD22E89"/>
    <w:rsid w:val="6D5FDB0D"/>
    <w:rsid w:val="6D734ECE"/>
    <w:rsid w:val="6E7E0516"/>
    <w:rsid w:val="6E8F9490"/>
    <w:rsid w:val="6EEEF277"/>
    <w:rsid w:val="6F1C86C4"/>
    <w:rsid w:val="6F7F8493"/>
    <w:rsid w:val="6F8C11B4"/>
    <w:rsid w:val="6FABA662"/>
    <w:rsid w:val="6FBED5CA"/>
    <w:rsid w:val="6FFDF6AB"/>
    <w:rsid w:val="701452FA"/>
    <w:rsid w:val="70652C10"/>
    <w:rsid w:val="70E879E0"/>
    <w:rsid w:val="70FE8E5D"/>
    <w:rsid w:val="711CF8F3"/>
    <w:rsid w:val="714776C3"/>
    <w:rsid w:val="71670A79"/>
    <w:rsid w:val="7229F1E4"/>
    <w:rsid w:val="72BEADFA"/>
    <w:rsid w:val="72CD4592"/>
    <w:rsid w:val="730E454E"/>
    <w:rsid w:val="74606958"/>
    <w:rsid w:val="74DAD230"/>
    <w:rsid w:val="74E3F819"/>
    <w:rsid w:val="75061AA3"/>
    <w:rsid w:val="751C1907"/>
    <w:rsid w:val="752B93CC"/>
    <w:rsid w:val="7532116E"/>
    <w:rsid w:val="75ECF567"/>
    <w:rsid w:val="76227791"/>
    <w:rsid w:val="7628E969"/>
    <w:rsid w:val="7651AF48"/>
    <w:rsid w:val="76661347"/>
    <w:rsid w:val="7686AE78"/>
    <w:rsid w:val="76C01EEC"/>
    <w:rsid w:val="76E69E6B"/>
    <w:rsid w:val="77B98E45"/>
    <w:rsid w:val="7855013E"/>
    <w:rsid w:val="788786E8"/>
    <w:rsid w:val="78CE3C67"/>
    <w:rsid w:val="792E1A8A"/>
    <w:rsid w:val="799805D1"/>
    <w:rsid w:val="7AB2CFDE"/>
    <w:rsid w:val="7C6E0D95"/>
    <w:rsid w:val="7C7C0173"/>
    <w:rsid w:val="7D52D79B"/>
    <w:rsid w:val="7D812E43"/>
    <w:rsid w:val="7D8B9E80"/>
    <w:rsid w:val="7E858475"/>
    <w:rsid w:val="7F0968CE"/>
    <w:rsid w:val="7F358D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ABEB2"/>
  <w15:docId w15:val="{38D37772-CEF3-4ADA-9180-90892F19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1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1F1265"/>
    <w:rPr>
      <w:rFonts w:cs="Univers 47 CondensedLight"/>
      <w:color w:val="EF3D41"/>
      <w:sz w:val="48"/>
      <w:szCs w:val="48"/>
    </w:rPr>
  </w:style>
  <w:style w:type="paragraph" w:styleId="ListParagraph">
    <w:name w:val="List Paragraph"/>
    <w:basedOn w:val="Normal"/>
    <w:uiPriority w:val="34"/>
    <w:qFormat/>
    <w:rsid w:val="001F1265"/>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60DD6"/>
    <w:rPr>
      <w:sz w:val="16"/>
      <w:szCs w:val="16"/>
    </w:rPr>
  </w:style>
  <w:style w:type="paragraph" w:styleId="CommentText">
    <w:name w:val="annotation text"/>
    <w:basedOn w:val="Normal"/>
    <w:link w:val="CommentTextChar"/>
    <w:uiPriority w:val="99"/>
    <w:unhideWhenUsed/>
    <w:rsid w:val="00260DD6"/>
    <w:rPr>
      <w:sz w:val="20"/>
      <w:szCs w:val="20"/>
    </w:rPr>
  </w:style>
  <w:style w:type="character" w:customStyle="1" w:styleId="CommentTextChar">
    <w:name w:val="Comment Text Char"/>
    <w:basedOn w:val="DefaultParagraphFont"/>
    <w:link w:val="CommentText"/>
    <w:uiPriority w:val="99"/>
    <w:rsid w:val="00260DD6"/>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260DD6"/>
    <w:rPr>
      <w:b/>
      <w:bCs/>
    </w:rPr>
  </w:style>
  <w:style w:type="character" w:customStyle="1" w:styleId="CommentSubjectChar">
    <w:name w:val="Comment Subject Char"/>
    <w:basedOn w:val="CommentTextChar"/>
    <w:link w:val="CommentSubject"/>
    <w:uiPriority w:val="99"/>
    <w:semiHidden/>
    <w:rsid w:val="00260DD6"/>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260DD6"/>
    <w:rPr>
      <w:rFonts w:ascii="Tahoma" w:hAnsi="Tahoma" w:cs="Tahoma"/>
      <w:sz w:val="16"/>
      <w:szCs w:val="16"/>
    </w:rPr>
  </w:style>
  <w:style w:type="character" w:customStyle="1" w:styleId="BalloonTextChar">
    <w:name w:val="Balloon Text Char"/>
    <w:basedOn w:val="DefaultParagraphFont"/>
    <w:link w:val="BalloonText"/>
    <w:uiPriority w:val="99"/>
    <w:semiHidden/>
    <w:rsid w:val="00260DD6"/>
    <w:rPr>
      <w:rFonts w:ascii="Tahoma" w:eastAsia="MS Mincho" w:hAnsi="Tahoma" w:cs="Tahoma"/>
      <w:sz w:val="16"/>
      <w:szCs w:val="16"/>
      <w:lang w:eastAsia="ja-JP"/>
    </w:rPr>
  </w:style>
  <w:style w:type="paragraph" w:styleId="Header">
    <w:name w:val="header"/>
    <w:basedOn w:val="Normal"/>
    <w:link w:val="HeaderChar"/>
    <w:uiPriority w:val="99"/>
    <w:unhideWhenUsed/>
    <w:rsid w:val="00FF74BC"/>
    <w:pPr>
      <w:tabs>
        <w:tab w:val="center" w:pos="4680"/>
        <w:tab w:val="right" w:pos="9360"/>
      </w:tabs>
    </w:pPr>
  </w:style>
  <w:style w:type="character" w:customStyle="1" w:styleId="HeaderChar">
    <w:name w:val="Header Char"/>
    <w:basedOn w:val="DefaultParagraphFont"/>
    <w:link w:val="Header"/>
    <w:uiPriority w:val="99"/>
    <w:rsid w:val="00FF74BC"/>
    <w:rPr>
      <w:rFonts w:ascii="Times New Roman" w:eastAsia="MS Mincho" w:hAnsi="Times New Roman" w:cs="Times New Roman"/>
      <w:sz w:val="24"/>
      <w:szCs w:val="24"/>
      <w:lang w:eastAsia="ja-JP"/>
    </w:rPr>
  </w:style>
  <w:style w:type="paragraph" w:styleId="Footer">
    <w:name w:val="footer"/>
    <w:basedOn w:val="Normal"/>
    <w:link w:val="FooterChar"/>
    <w:unhideWhenUsed/>
    <w:rsid w:val="00FF74BC"/>
    <w:pPr>
      <w:tabs>
        <w:tab w:val="center" w:pos="4680"/>
        <w:tab w:val="right" w:pos="9360"/>
      </w:tabs>
    </w:pPr>
  </w:style>
  <w:style w:type="character" w:customStyle="1" w:styleId="FooterChar">
    <w:name w:val="Footer Char"/>
    <w:basedOn w:val="DefaultParagraphFont"/>
    <w:link w:val="Footer"/>
    <w:uiPriority w:val="99"/>
    <w:rsid w:val="00FF74BC"/>
    <w:rPr>
      <w:rFonts w:ascii="Times New Roman" w:eastAsia="MS Mincho" w:hAnsi="Times New Roman" w:cs="Times New Roman"/>
      <w:sz w:val="24"/>
      <w:szCs w:val="24"/>
      <w:lang w:eastAsia="ja-JP"/>
    </w:rPr>
  </w:style>
  <w:style w:type="paragraph" w:styleId="PlainText">
    <w:name w:val="Plain Text"/>
    <w:basedOn w:val="Normal"/>
    <w:link w:val="PlainTextChar"/>
    <w:uiPriority w:val="99"/>
    <w:semiHidden/>
    <w:unhideWhenUsed/>
    <w:rsid w:val="00964DB1"/>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964DB1"/>
    <w:rPr>
      <w:rFonts w:ascii="Calibri" w:hAnsi="Calibri" w:cs="Times New Roman"/>
    </w:rPr>
  </w:style>
  <w:style w:type="paragraph" w:customStyle="1" w:styleId="Pa5">
    <w:name w:val="Pa5"/>
    <w:basedOn w:val="Normal"/>
    <w:next w:val="Normal"/>
    <w:uiPriority w:val="99"/>
    <w:rsid w:val="00987350"/>
    <w:pPr>
      <w:autoSpaceDE w:val="0"/>
      <w:autoSpaceDN w:val="0"/>
      <w:adjustRightInd w:val="0"/>
      <w:spacing w:line="191" w:lineRule="atLeast"/>
    </w:pPr>
    <w:rPr>
      <w:rFonts w:ascii="Univers LT Std 47 Cn Lt" w:eastAsiaTheme="minorHAnsi" w:hAnsi="Univers LT Std 47 Cn Lt" w:cstheme="minorBidi"/>
      <w:lang w:eastAsia="en-US"/>
    </w:rPr>
  </w:style>
  <w:style w:type="character" w:customStyle="1" w:styleId="A12">
    <w:name w:val="A12"/>
    <w:uiPriority w:val="99"/>
    <w:rsid w:val="00987350"/>
    <w:rPr>
      <w:rFonts w:cs="Univers LT Std 47 Cn Lt"/>
      <w:color w:val="221E1F"/>
      <w:sz w:val="16"/>
      <w:szCs w:val="16"/>
    </w:rPr>
  </w:style>
  <w:style w:type="character" w:customStyle="1" w:styleId="FooterChar1">
    <w:name w:val="Footer Char1"/>
    <w:rsid w:val="00C7189A"/>
    <w:rPr>
      <w:rFonts w:ascii="Arial Narrow" w:eastAsia="MS Mincho" w:hAnsi="Arial Narrow" w:cs="Arial Narrow"/>
      <w:sz w:val="12"/>
      <w:szCs w:val="12"/>
      <w:lang w:val="en-US" w:eastAsia="ja-JP" w:bidi="ar-SA"/>
    </w:rPr>
  </w:style>
  <w:style w:type="paragraph" w:customStyle="1" w:styleId="ISBody">
    <w:name w:val="IS_Body"/>
    <w:basedOn w:val="Normal"/>
    <w:link w:val="ISBodyChar"/>
    <w:uiPriority w:val="99"/>
    <w:rsid w:val="007F2D6E"/>
    <w:pPr>
      <w:spacing w:line="300" w:lineRule="exact"/>
    </w:pPr>
    <w:rPr>
      <w:rFonts w:ascii="UniversNext for MORNPC Cn" w:eastAsia="SimSun" w:hAnsi="UniversNext for MORNPC Cn"/>
      <w:color w:val="000000" w:themeColor="text1"/>
      <w:sz w:val="20"/>
      <w:szCs w:val="20"/>
      <w:lang w:val="en-GB" w:eastAsia="en-US"/>
    </w:rPr>
  </w:style>
  <w:style w:type="character" w:customStyle="1" w:styleId="ISBodyChar">
    <w:name w:val="IS_Body Char"/>
    <w:basedOn w:val="DefaultParagraphFont"/>
    <w:link w:val="ISBody"/>
    <w:uiPriority w:val="99"/>
    <w:rsid w:val="007F2D6E"/>
    <w:rPr>
      <w:rFonts w:ascii="UniversNext for MORNPC Cn" w:eastAsia="SimSun" w:hAnsi="UniversNext for MORNPC Cn" w:cs="Times New Roman"/>
      <w:color w:val="000000" w:themeColor="text1"/>
      <w:sz w:val="20"/>
      <w:szCs w:val="20"/>
      <w:lang w:val="en-GB"/>
    </w:rPr>
  </w:style>
  <w:style w:type="paragraph" w:customStyle="1" w:styleId="ISCoverTitleBold">
    <w:name w:val="IS_Cover_Title_Bold"/>
    <w:basedOn w:val="Normal"/>
    <w:uiPriority w:val="99"/>
    <w:rsid w:val="00EE53D2"/>
    <w:pPr>
      <w:spacing w:line="480" w:lineRule="exact"/>
    </w:pPr>
    <w:rPr>
      <w:rFonts w:ascii="UniversNext for MORNPC Cn" w:eastAsia="SimSun" w:hAnsi="UniversNext for MORNPC Cn"/>
      <w:b/>
      <w:color w:val="000000" w:themeColor="text1"/>
      <w:sz w:val="40"/>
      <w:szCs w:val="20"/>
      <w:lang w:eastAsia="en-US"/>
    </w:rPr>
  </w:style>
  <w:style w:type="paragraph" w:customStyle="1" w:styleId="ISCoverTitleLine2NonBold">
    <w:name w:val="IS_Cover_Title_Line2_NonBold"/>
    <w:basedOn w:val="ISCoverTitleBold"/>
    <w:qFormat/>
    <w:rsid w:val="00EE53D2"/>
    <w:rPr>
      <w:b w:val="0"/>
      <w:sz w:val="42"/>
    </w:rPr>
  </w:style>
  <w:style w:type="character" w:styleId="Hyperlink">
    <w:name w:val="Hyperlink"/>
    <w:basedOn w:val="DefaultParagraphFont"/>
    <w:uiPriority w:val="99"/>
    <w:unhideWhenUsed/>
    <w:rsid w:val="002E54A1"/>
    <w:rPr>
      <w:color w:val="0000FF" w:themeColor="hyperlink"/>
      <w:u w:val="single"/>
    </w:rPr>
  </w:style>
  <w:style w:type="character" w:styleId="UnresolvedMention">
    <w:name w:val="Unresolved Mention"/>
    <w:basedOn w:val="DefaultParagraphFont"/>
    <w:uiPriority w:val="99"/>
    <w:semiHidden/>
    <w:unhideWhenUsed/>
    <w:rsid w:val="002E54A1"/>
    <w:rPr>
      <w:color w:val="808080"/>
      <w:shd w:val="clear" w:color="auto" w:fill="E6E6E6"/>
    </w:rPr>
  </w:style>
  <w:style w:type="character" w:styleId="FollowedHyperlink">
    <w:name w:val="FollowedHyperlink"/>
    <w:basedOn w:val="DefaultParagraphFont"/>
    <w:uiPriority w:val="99"/>
    <w:semiHidden/>
    <w:unhideWhenUsed/>
    <w:rsid w:val="00A85324"/>
    <w:rPr>
      <w:color w:val="800080" w:themeColor="followedHyperlink"/>
      <w:u w:val="single"/>
    </w:rPr>
  </w:style>
  <w:style w:type="character" w:customStyle="1" w:styleId="normaltextrun">
    <w:name w:val="normaltextrun"/>
    <w:basedOn w:val="DefaultParagraphFont"/>
    <w:rsid w:val="005574DC"/>
  </w:style>
  <w:style w:type="paragraph" w:styleId="NormalWeb">
    <w:name w:val="Normal (Web)"/>
    <w:basedOn w:val="Normal"/>
    <w:uiPriority w:val="99"/>
    <w:unhideWhenUsed/>
    <w:rsid w:val="00B25752"/>
    <w:pPr>
      <w:spacing w:before="100" w:beforeAutospacing="1" w:after="100" w:afterAutospacing="1"/>
    </w:pPr>
    <w:rPr>
      <w:rFonts w:eastAsia="Times New Roman"/>
      <w:lang w:val="en-AU" w:eastAsia="en-AU"/>
    </w:rPr>
  </w:style>
  <w:style w:type="paragraph" w:styleId="Revision">
    <w:name w:val="Revision"/>
    <w:hidden/>
    <w:uiPriority w:val="99"/>
    <w:semiHidden/>
    <w:rsid w:val="00AA6D55"/>
    <w:pPr>
      <w:spacing w:after="0" w:line="240" w:lineRule="auto"/>
    </w:pPr>
    <w:rPr>
      <w:rFonts w:ascii="Times New Roman" w:eastAsia="MS Mincho" w:hAnsi="Times New Roman" w:cs="Times New Roman"/>
      <w:sz w:val="24"/>
      <w:szCs w:val="24"/>
      <w:lang w:eastAsia="ja-JP"/>
    </w:rPr>
  </w:style>
  <w:style w:type="character" w:styleId="Mention">
    <w:name w:val="Mention"/>
    <w:basedOn w:val="DefaultParagraphFont"/>
    <w:uiPriority w:val="99"/>
    <w:unhideWhenUsed/>
    <w:rsid w:val="005616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077">
      <w:bodyDiv w:val="1"/>
      <w:marLeft w:val="0"/>
      <w:marRight w:val="0"/>
      <w:marTop w:val="0"/>
      <w:marBottom w:val="0"/>
      <w:divBdr>
        <w:top w:val="none" w:sz="0" w:space="0" w:color="auto"/>
        <w:left w:val="none" w:sz="0" w:space="0" w:color="auto"/>
        <w:bottom w:val="none" w:sz="0" w:space="0" w:color="auto"/>
        <w:right w:val="none" w:sz="0" w:space="0" w:color="auto"/>
      </w:divBdr>
    </w:div>
    <w:div w:id="22218377">
      <w:bodyDiv w:val="1"/>
      <w:marLeft w:val="0"/>
      <w:marRight w:val="0"/>
      <w:marTop w:val="0"/>
      <w:marBottom w:val="0"/>
      <w:divBdr>
        <w:top w:val="none" w:sz="0" w:space="0" w:color="auto"/>
        <w:left w:val="none" w:sz="0" w:space="0" w:color="auto"/>
        <w:bottom w:val="none" w:sz="0" w:space="0" w:color="auto"/>
        <w:right w:val="none" w:sz="0" w:space="0" w:color="auto"/>
      </w:divBdr>
    </w:div>
    <w:div w:id="54285235">
      <w:bodyDiv w:val="1"/>
      <w:marLeft w:val="0"/>
      <w:marRight w:val="0"/>
      <w:marTop w:val="0"/>
      <w:marBottom w:val="0"/>
      <w:divBdr>
        <w:top w:val="none" w:sz="0" w:space="0" w:color="auto"/>
        <w:left w:val="none" w:sz="0" w:space="0" w:color="auto"/>
        <w:bottom w:val="none" w:sz="0" w:space="0" w:color="auto"/>
        <w:right w:val="none" w:sz="0" w:space="0" w:color="auto"/>
      </w:divBdr>
    </w:div>
    <w:div w:id="87429142">
      <w:bodyDiv w:val="1"/>
      <w:marLeft w:val="0"/>
      <w:marRight w:val="0"/>
      <w:marTop w:val="0"/>
      <w:marBottom w:val="0"/>
      <w:divBdr>
        <w:top w:val="none" w:sz="0" w:space="0" w:color="auto"/>
        <w:left w:val="none" w:sz="0" w:space="0" w:color="auto"/>
        <w:bottom w:val="none" w:sz="0" w:space="0" w:color="auto"/>
        <w:right w:val="none" w:sz="0" w:space="0" w:color="auto"/>
      </w:divBdr>
    </w:div>
    <w:div w:id="105467575">
      <w:bodyDiv w:val="1"/>
      <w:marLeft w:val="0"/>
      <w:marRight w:val="0"/>
      <w:marTop w:val="0"/>
      <w:marBottom w:val="0"/>
      <w:divBdr>
        <w:top w:val="none" w:sz="0" w:space="0" w:color="auto"/>
        <w:left w:val="none" w:sz="0" w:space="0" w:color="auto"/>
        <w:bottom w:val="none" w:sz="0" w:space="0" w:color="auto"/>
        <w:right w:val="none" w:sz="0" w:space="0" w:color="auto"/>
      </w:divBdr>
    </w:div>
    <w:div w:id="149685120">
      <w:bodyDiv w:val="1"/>
      <w:marLeft w:val="0"/>
      <w:marRight w:val="0"/>
      <w:marTop w:val="0"/>
      <w:marBottom w:val="0"/>
      <w:divBdr>
        <w:top w:val="none" w:sz="0" w:space="0" w:color="auto"/>
        <w:left w:val="none" w:sz="0" w:space="0" w:color="auto"/>
        <w:bottom w:val="none" w:sz="0" w:space="0" w:color="auto"/>
        <w:right w:val="none" w:sz="0" w:space="0" w:color="auto"/>
      </w:divBdr>
    </w:div>
    <w:div w:id="202913676">
      <w:bodyDiv w:val="1"/>
      <w:marLeft w:val="0"/>
      <w:marRight w:val="0"/>
      <w:marTop w:val="0"/>
      <w:marBottom w:val="0"/>
      <w:divBdr>
        <w:top w:val="none" w:sz="0" w:space="0" w:color="auto"/>
        <w:left w:val="none" w:sz="0" w:space="0" w:color="auto"/>
        <w:bottom w:val="none" w:sz="0" w:space="0" w:color="auto"/>
        <w:right w:val="none" w:sz="0" w:space="0" w:color="auto"/>
      </w:divBdr>
    </w:div>
    <w:div w:id="249631447">
      <w:bodyDiv w:val="1"/>
      <w:marLeft w:val="0"/>
      <w:marRight w:val="0"/>
      <w:marTop w:val="0"/>
      <w:marBottom w:val="0"/>
      <w:divBdr>
        <w:top w:val="none" w:sz="0" w:space="0" w:color="auto"/>
        <w:left w:val="none" w:sz="0" w:space="0" w:color="auto"/>
        <w:bottom w:val="none" w:sz="0" w:space="0" w:color="auto"/>
        <w:right w:val="none" w:sz="0" w:space="0" w:color="auto"/>
      </w:divBdr>
    </w:div>
    <w:div w:id="269707728">
      <w:bodyDiv w:val="1"/>
      <w:marLeft w:val="0"/>
      <w:marRight w:val="0"/>
      <w:marTop w:val="0"/>
      <w:marBottom w:val="0"/>
      <w:divBdr>
        <w:top w:val="none" w:sz="0" w:space="0" w:color="auto"/>
        <w:left w:val="none" w:sz="0" w:space="0" w:color="auto"/>
        <w:bottom w:val="none" w:sz="0" w:space="0" w:color="auto"/>
        <w:right w:val="none" w:sz="0" w:space="0" w:color="auto"/>
      </w:divBdr>
    </w:div>
    <w:div w:id="404305436">
      <w:bodyDiv w:val="1"/>
      <w:marLeft w:val="0"/>
      <w:marRight w:val="0"/>
      <w:marTop w:val="0"/>
      <w:marBottom w:val="0"/>
      <w:divBdr>
        <w:top w:val="none" w:sz="0" w:space="0" w:color="auto"/>
        <w:left w:val="none" w:sz="0" w:space="0" w:color="auto"/>
        <w:bottom w:val="none" w:sz="0" w:space="0" w:color="auto"/>
        <w:right w:val="none" w:sz="0" w:space="0" w:color="auto"/>
      </w:divBdr>
    </w:div>
    <w:div w:id="417823655">
      <w:bodyDiv w:val="1"/>
      <w:marLeft w:val="0"/>
      <w:marRight w:val="0"/>
      <w:marTop w:val="0"/>
      <w:marBottom w:val="0"/>
      <w:divBdr>
        <w:top w:val="none" w:sz="0" w:space="0" w:color="auto"/>
        <w:left w:val="none" w:sz="0" w:space="0" w:color="auto"/>
        <w:bottom w:val="none" w:sz="0" w:space="0" w:color="auto"/>
        <w:right w:val="none" w:sz="0" w:space="0" w:color="auto"/>
      </w:divBdr>
    </w:div>
    <w:div w:id="426779219">
      <w:bodyDiv w:val="1"/>
      <w:marLeft w:val="0"/>
      <w:marRight w:val="0"/>
      <w:marTop w:val="0"/>
      <w:marBottom w:val="0"/>
      <w:divBdr>
        <w:top w:val="none" w:sz="0" w:space="0" w:color="auto"/>
        <w:left w:val="none" w:sz="0" w:space="0" w:color="auto"/>
        <w:bottom w:val="none" w:sz="0" w:space="0" w:color="auto"/>
        <w:right w:val="none" w:sz="0" w:space="0" w:color="auto"/>
      </w:divBdr>
      <w:divsChild>
        <w:div w:id="1001280855">
          <w:marLeft w:val="547"/>
          <w:marRight w:val="0"/>
          <w:marTop w:val="0"/>
          <w:marBottom w:val="0"/>
          <w:divBdr>
            <w:top w:val="none" w:sz="0" w:space="0" w:color="auto"/>
            <w:left w:val="none" w:sz="0" w:space="0" w:color="auto"/>
            <w:bottom w:val="none" w:sz="0" w:space="0" w:color="auto"/>
            <w:right w:val="none" w:sz="0" w:space="0" w:color="auto"/>
          </w:divBdr>
        </w:div>
      </w:divsChild>
    </w:div>
    <w:div w:id="559484408">
      <w:bodyDiv w:val="1"/>
      <w:marLeft w:val="0"/>
      <w:marRight w:val="0"/>
      <w:marTop w:val="0"/>
      <w:marBottom w:val="0"/>
      <w:divBdr>
        <w:top w:val="none" w:sz="0" w:space="0" w:color="auto"/>
        <w:left w:val="none" w:sz="0" w:space="0" w:color="auto"/>
        <w:bottom w:val="none" w:sz="0" w:space="0" w:color="auto"/>
        <w:right w:val="none" w:sz="0" w:space="0" w:color="auto"/>
      </w:divBdr>
    </w:div>
    <w:div w:id="666130349">
      <w:bodyDiv w:val="1"/>
      <w:marLeft w:val="0"/>
      <w:marRight w:val="0"/>
      <w:marTop w:val="0"/>
      <w:marBottom w:val="0"/>
      <w:divBdr>
        <w:top w:val="none" w:sz="0" w:space="0" w:color="auto"/>
        <w:left w:val="none" w:sz="0" w:space="0" w:color="auto"/>
        <w:bottom w:val="none" w:sz="0" w:space="0" w:color="auto"/>
        <w:right w:val="none" w:sz="0" w:space="0" w:color="auto"/>
      </w:divBdr>
    </w:div>
    <w:div w:id="687684131">
      <w:bodyDiv w:val="1"/>
      <w:marLeft w:val="0"/>
      <w:marRight w:val="0"/>
      <w:marTop w:val="0"/>
      <w:marBottom w:val="0"/>
      <w:divBdr>
        <w:top w:val="none" w:sz="0" w:space="0" w:color="auto"/>
        <w:left w:val="none" w:sz="0" w:space="0" w:color="auto"/>
        <w:bottom w:val="none" w:sz="0" w:space="0" w:color="auto"/>
        <w:right w:val="none" w:sz="0" w:space="0" w:color="auto"/>
      </w:divBdr>
    </w:div>
    <w:div w:id="745810675">
      <w:bodyDiv w:val="1"/>
      <w:marLeft w:val="0"/>
      <w:marRight w:val="0"/>
      <w:marTop w:val="0"/>
      <w:marBottom w:val="0"/>
      <w:divBdr>
        <w:top w:val="none" w:sz="0" w:space="0" w:color="auto"/>
        <w:left w:val="none" w:sz="0" w:space="0" w:color="auto"/>
        <w:bottom w:val="none" w:sz="0" w:space="0" w:color="auto"/>
        <w:right w:val="none" w:sz="0" w:space="0" w:color="auto"/>
      </w:divBdr>
    </w:div>
    <w:div w:id="903761808">
      <w:bodyDiv w:val="1"/>
      <w:marLeft w:val="0"/>
      <w:marRight w:val="0"/>
      <w:marTop w:val="0"/>
      <w:marBottom w:val="0"/>
      <w:divBdr>
        <w:top w:val="none" w:sz="0" w:space="0" w:color="auto"/>
        <w:left w:val="none" w:sz="0" w:space="0" w:color="auto"/>
        <w:bottom w:val="none" w:sz="0" w:space="0" w:color="auto"/>
        <w:right w:val="none" w:sz="0" w:space="0" w:color="auto"/>
      </w:divBdr>
    </w:div>
    <w:div w:id="953171435">
      <w:bodyDiv w:val="1"/>
      <w:marLeft w:val="0"/>
      <w:marRight w:val="0"/>
      <w:marTop w:val="0"/>
      <w:marBottom w:val="0"/>
      <w:divBdr>
        <w:top w:val="none" w:sz="0" w:space="0" w:color="auto"/>
        <w:left w:val="none" w:sz="0" w:space="0" w:color="auto"/>
        <w:bottom w:val="none" w:sz="0" w:space="0" w:color="auto"/>
        <w:right w:val="none" w:sz="0" w:space="0" w:color="auto"/>
      </w:divBdr>
    </w:div>
    <w:div w:id="1002513165">
      <w:bodyDiv w:val="1"/>
      <w:marLeft w:val="0"/>
      <w:marRight w:val="0"/>
      <w:marTop w:val="0"/>
      <w:marBottom w:val="0"/>
      <w:divBdr>
        <w:top w:val="none" w:sz="0" w:space="0" w:color="auto"/>
        <w:left w:val="none" w:sz="0" w:space="0" w:color="auto"/>
        <w:bottom w:val="none" w:sz="0" w:space="0" w:color="auto"/>
        <w:right w:val="none" w:sz="0" w:space="0" w:color="auto"/>
      </w:divBdr>
      <w:divsChild>
        <w:div w:id="1600986979">
          <w:marLeft w:val="547"/>
          <w:marRight w:val="0"/>
          <w:marTop w:val="0"/>
          <w:marBottom w:val="0"/>
          <w:divBdr>
            <w:top w:val="none" w:sz="0" w:space="0" w:color="auto"/>
            <w:left w:val="none" w:sz="0" w:space="0" w:color="auto"/>
            <w:bottom w:val="none" w:sz="0" w:space="0" w:color="auto"/>
            <w:right w:val="none" w:sz="0" w:space="0" w:color="auto"/>
          </w:divBdr>
        </w:div>
      </w:divsChild>
    </w:div>
    <w:div w:id="1139692977">
      <w:bodyDiv w:val="1"/>
      <w:marLeft w:val="0"/>
      <w:marRight w:val="0"/>
      <w:marTop w:val="0"/>
      <w:marBottom w:val="0"/>
      <w:divBdr>
        <w:top w:val="none" w:sz="0" w:space="0" w:color="auto"/>
        <w:left w:val="none" w:sz="0" w:space="0" w:color="auto"/>
        <w:bottom w:val="none" w:sz="0" w:space="0" w:color="auto"/>
        <w:right w:val="none" w:sz="0" w:space="0" w:color="auto"/>
      </w:divBdr>
    </w:div>
    <w:div w:id="1154176242">
      <w:bodyDiv w:val="1"/>
      <w:marLeft w:val="0"/>
      <w:marRight w:val="0"/>
      <w:marTop w:val="0"/>
      <w:marBottom w:val="0"/>
      <w:divBdr>
        <w:top w:val="none" w:sz="0" w:space="0" w:color="auto"/>
        <w:left w:val="none" w:sz="0" w:space="0" w:color="auto"/>
        <w:bottom w:val="none" w:sz="0" w:space="0" w:color="auto"/>
        <w:right w:val="none" w:sz="0" w:space="0" w:color="auto"/>
      </w:divBdr>
    </w:div>
    <w:div w:id="1240559668">
      <w:bodyDiv w:val="1"/>
      <w:marLeft w:val="0"/>
      <w:marRight w:val="0"/>
      <w:marTop w:val="0"/>
      <w:marBottom w:val="0"/>
      <w:divBdr>
        <w:top w:val="none" w:sz="0" w:space="0" w:color="auto"/>
        <w:left w:val="none" w:sz="0" w:space="0" w:color="auto"/>
        <w:bottom w:val="none" w:sz="0" w:space="0" w:color="auto"/>
        <w:right w:val="none" w:sz="0" w:space="0" w:color="auto"/>
      </w:divBdr>
    </w:div>
    <w:div w:id="1265111237">
      <w:bodyDiv w:val="1"/>
      <w:marLeft w:val="0"/>
      <w:marRight w:val="0"/>
      <w:marTop w:val="0"/>
      <w:marBottom w:val="0"/>
      <w:divBdr>
        <w:top w:val="none" w:sz="0" w:space="0" w:color="auto"/>
        <w:left w:val="none" w:sz="0" w:space="0" w:color="auto"/>
        <w:bottom w:val="none" w:sz="0" w:space="0" w:color="auto"/>
        <w:right w:val="none" w:sz="0" w:space="0" w:color="auto"/>
      </w:divBdr>
    </w:div>
    <w:div w:id="1282685322">
      <w:bodyDiv w:val="1"/>
      <w:marLeft w:val="0"/>
      <w:marRight w:val="0"/>
      <w:marTop w:val="0"/>
      <w:marBottom w:val="0"/>
      <w:divBdr>
        <w:top w:val="none" w:sz="0" w:space="0" w:color="auto"/>
        <w:left w:val="none" w:sz="0" w:space="0" w:color="auto"/>
        <w:bottom w:val="none" w:sz="0" w:space="0" w:color="auto"/>
        <w:right w:val="none" w:sz="0" w:space="0" w:color="auto"/>
      </w:divBdr>
    </w:div>
    <w:div w:id="1437022750">
      <w:bodyDiv w:val="1"/>
      <w:marLeft w:val="0"/>
      <w:marRight w:val="0"/>
      <w:marTop w:val="0"/>
      <w:marBottom w:val="0"/>
      <w:divBdr>
        <w:top w:val="none" w:sz="0" w:space="0" w:color="auto"/>
        <w:left w:val="none" w:sz="0" w:space="0" w:color="auto"/>
        <w:bottom w:val="none" w:sz="0" w:space="0" w:color="auto"/>
        <w:right w:val="none" w:sz="0" w:space="0" w:color="auto"/>
      </w:divBdr>
    </w:div>
    <w:div w:id="1619948652">
      <w:bodyDiv w:val="1"/>
      <w:marLeft w:val="0"/>
      <w:marRight w:val="0"/>
      <w:marTop w:val="0"/>
      <w:marBottom w:val="0"/>
      <w:divBdr>
        <w:top w:val="none" w:sz="0" w:space="0" w:color="auto"/>
        <w:left w:val="none" w:sz="0" w:space="0" w:color="auto"/>
        <w:bottom w:val="none" w:sz="0" w:space="0" w:color="auto"/>
        <w:right w:val="none" w:sz="0" w:space="0" w:color="auto"/>
      </w:divBdr>
    </w:div>
    <w:div w:id="1767992944">
      <w:bodyDiv w:val="1"/>
      <w:marLeft w:val="0"/>
      <w:marRight w:val="0"/>
      <w:marTop w:val="0"/>
      <w:marBottom w:val="0"/>
      <w:divBdr>
        <w:top w:val="none" w:sz="0" w:space="0" w:color="auto"/>
        <w:left w:val="none" w:sz="0" w:space="0" w:color="auto"/>
        <w:bottom w:val="none" w:sz="0" w:space="0" w:color="auto"/>
        <w:right w:val="none" w:sz="0" w:space="0" w:color="auto"/>
      </w:divBdr>
    </w:div>
    <w:div w:id="1855262644">
      <w:bodyDiv w:val="1"/>
      <w:marLeft w:val="0"/>
      <w:marRight w:val="0"/>
      <w:marTop w:val="0"/>
      <w:marBottom w:val="0"/>
      <w:divBdr>
        <w:top w:val="none" w:sz="0" w:space="0" w:color="auto"/>
        <w:left w:val="none" w:sz="0" w:space="0" w:color="auto"/>
        <w:bottom w:val="none" w:sz="0" w:space="0" w:color="auto"/>
        <w:right w:val="none" w:sz="0" w:space="0" w:color="auto"/>
      </w:divBdr>
    </w:div>
    <w:div w:id="1918174390">
      <w:bodyDiv w:val="1"/>
      <w:marLeft w:val="0"/>
      <w:marRight w:val="0"/>
      <w:marTop w:val="0"/>
      <w:marBottom w:val="0"/>
      <w:divBdr>
        <w:top w:val="none" w:sz="0" w:space="0" w:color="auto"/>
        <w:left w:val="none" w:sz="0" w:space="0" w:color="auto"/>
        <w:bottom w:val="none" w:sz="0" w:space="0" w:color="auto"/>
        <w:right w:val="none" w:sz="0" w:space="0" w:color="auto"/>
      </w:divBdr>
    </w:div>
    <w:div w:id="2059670971">
      <w:bodyDiv w:val="1"/>
      <w:marLeft w:val="0"/>
      <w:marRight w:val="0"/>
      <w:marTop w:val="0"/>
      <w:marBottom w:val="0"/>
      <w:divBdr>
        <w:top w:val="none" w:sz="0" w:space="0" w:color="auto"/>
        <w:left w:val="none" w:sz="0" w:space="0" w:color="auto"/>
        <w:bottom w:val="none" w:sz="0" w:space="0" w:color="auto"/>
        <w:right w:val="none" w:sz="0" w:space="0" w:color="auto"/>
      </w:divBdr>
    </w:div>
    <w:div w:id="21036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3747B355C5A4DB3DB1924592A3AD1" ma:contentTypeVersion="13" ma:contentTypeDescription="Create a new document." ma:contentTypeScope="" ma:versionID="2cd0c7cc087f47e10d74b7946272565d">
  <xsd:schema xmlns:xsd="http://www.w3.org/2001/XMLSchema" xmlns:xs="http://www.w3.org/2001/XMLSchema" xmlns:p="http://schemas.microsoft.com/office/2006/metadata/properties" xmlns:ns2="3eba90cc-efb3-4976-a5ce-30dae96aac6b" xmlns:ns3="c6a9721e-82bc-4f70-9542-7a541c48bd92" targetNamespace="http://schemas.microsoft.com/office/2006/metadata/properties" ma:root="true" ma:fieldsID="00a3ac77049ff32fbd72e3399b815ec9" ns2:_="" ns3:_="">
    <xsd:import namespace="3eba90cc-efb3-4976-a5ce-30dae96aac6b"/>
    <xsd:import namespace="c6a9721e-82bc-4f70-9542-7a541c48bd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a90cc-efb3-4976-a5ce-30dae96aa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9721e-82bc-4f70-9542-7a541c48bd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35F3-809F-4D3C-80F0-EA2540410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a90cc-efb3-4976-a5ce-30dae96aac6b"/>
    <ds:schemaRef ds:uri="c6a9721e-82bc-4f70-9542-7a541c48b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1D2A8-2EE2-4394-9BD8-4DCD6D065B1F}">
  <ds:schemaRefs>
    <ds:schemaRef ds:uri="http://schemas.microsoft.com/sharepoint/v3/contenttype/forms"/>
  </ds:schemaRefs>
</ds:datastoreItem>
</file>

<file path=customXml/itemProps3.xml><?xml version="1.0" encoding="utf-8"?>
<ds:datastoreItem xmlns:ds="http://schemas.openxmlformats.org/officeDocument/2006/customXml" ds:itemID="{BE4BE632-6816-4793-BEB3-D3A89FDD85C3}">
  <ds:schemaRefs>
    <ds:schemaRef ds:uri="http://schemas.microsoft.com/office/infopath/2007/PartnerControls"/>
    <ds:schemaRef ds:uri="http://schemas.microsoft.com/office/2006/documentManagement/types"/>
    <ds:schemaRef ds:uri="http://www.w3.org/XML/1998/namespace"/>
    <ds:schemaRef ds:uri="3eba90cc-efb3-4976-a5ce-30dae96aac6b"/>
    <ds:schemaRef ds:uri="http://schemas.openxmlformats.org/package/2006/metadata/core-properties"/>
    <ds:schemaRef ds:uri="http://purl.org/dc/elements/1.1/"/>
    <ds:schemaRef ds:uri="c6a9721e-82bc-4f70-9542-7a541c48bd92"/>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391ACDF6-C2B9-40E5-953B-3CC01F1B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1793</Words>
  <Characters>10221</Characters>
  <Application>Microsoft Office Word</Application>
  <DocSecurity>0</DocSecurity>
  <Lines>85</Lines>
  <Paragraphs>23</Paragraphs>
  <ScaleCrop>false</ScaleCrop>
  <Company>Morningstar Inc.</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Weirath</dc:creator>
  <cp:keywords/>
  <cp:lastModifiedBy>Rachelle Gibson</cp:lastModifiedBy>
  <cp:revision>1106</cp:revision>
  <cp:lastPrinted>2023-03-17T21:40:00Z</cp:lastPrinted>
  <dcterms:created xsi:type="dcterms:W3CDTF">2022-06-25T20:28:00Z</dcterms:created>
  <dcterms:modified xsi:type="dcterms:W3CDTF">2024-04-18T08:03:00Z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0x01010071B3747B355C5A4DB3DB1924592A3AD1</vt:lpwstr>
  </property>
</Properties>
</file>